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Freshara Agro Exports Ltd</w:t>
      </w:r>
    </w:p>
    <w:p>
      <w:pPr>
        <w:pBdr>
          <w:bottom w:val="single" w:color="CCCCCC" w:sz="6" w:space="8"/>
        </w:pBdr>
        <w:spacing w:after="200"/>
      </w:pPr>
      <w:r>
        <w:rPr>
          <w:i/>
          <w:iCs/>
          <w:color w:val="666666"/>
          <w:sz w:val="22"/>
          <w:szCs w:val="22"/>
        </w:rPr>
        <w:t xml:space="preserve">India's #3 gherkins exporter that doubled capacity and bought Spain's Aceitunas Sarasa - real ~30% organic growth and 21% ROCE, but leveraged (~2.6x), persistently cash-flow-negative and diluting into a self-described make-or-break FY27</w:t>
      </w:r>
    </w:p>
    <w:p>
      <w:pPr>
        <w:pStyle w:val="Heading1"/>
        <w:spacing w:after="120" w:before="280"/>
      </w:pPr>
      <w:r>
        <w:t xml:space="preserve">Business Overview</w:t>
      </w:r>
    </w:p>
    <w:p>
      <w:pPr>
        <w:spacing w:after="120"/>
      </w:pPr>
      <w:r>
        <w:t xml:space="preserve">Freshara Agro Exports (incorporated 2023, listed 2024, Tamil Nadu) procures, processes and exports preserved gherkins and pickled vegetables from India, and is forward-integrating into B2C retail packaging. It commissioned a second processing unit in FY26 (~2x capacity) and acquired Aceitunas Sarasa, S.A.U. - a Spanish table-olive and gherkin processor - to add a B2C olive business and a European base. The global gherkin/cucumber supply market is concentrated (China ~83-84% of production), giving India a structural alternate-source position.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1,013 Cr (up ~113% in 1 year); price ~Rs 431, P/E ~28x</w:t>
            </w:r>
          </w:p>
        </w:tc>
      </w:tr>
      <w:tr>
        <w:tc>
          <w:tcPr>
            <w:tcW w:type="dxa" w:w="3200"/>
            <w:shd w:fill="F2F2F2" w:val="clear"/>
          </w:tcPr>
          <w:p>
            <w:r>
              <w:rPr>
                <w:b/>
                <w:bCs/>
              </w:rPr>
              <w:t xml:space="preserve">ROCE / ROE</w:t>
            </w:r>
          </w:p>
        </w:tc>
        <w:tc>
          <w:tcPr>
            <w:tcW w:type="dxa" w:w="5800"/>
          </w:tcPr>
          <w:p>
            <w:r>
              <w:t xml:space="preserve">20.9% / 24.0% (3-yr ROE 29.0%, trending down)</w:t>
            </w:r>
          </w:p>
        </w:tc>
      </w:tr>
      <w:tr>
        <w:tc>
          <w:tcPr>
            <w:tcW w:type="dxa" w:w="3200"/>
            <w:shd w:fill="F2F2F2" w:val="clear"/>
          </w:tcPr>
          <w:p>
            <w:r>
              <w:rPr>
                <w:b/>
                <w:bCs/>
              </w:rPr>
              <w:t xml:space="preserve">Revenue / PAT</w:t>
            </w:r>
          </w:p>
        </w:tc>
        <w:tc>
          <w:tcPr>
            <w:tcW w:type="dxa" w:w="5800"/>
          </w:tcPr>
          <w:p>
            <w:r>
              <w:t xml:space="preserve">FY24 Rs 71 Cr / Rs 10 Cr; FY25 Rs 251 Cr / Rs 29 Cr; FY26 Rs 314 Cr / Rs 36 Cr; Q1 FY27 standalone Rs 61.6 Cr (+34.7%), consol Rs 112.9 Cr (+147%, Spain)</w:t>
            </w:r>
          </w:p>
        </w:tc>
      </w:tr>
      <w:tr>
        <w:tc>
          <w:tcPr>
            <w:tcW w:type="dxa" w:w="3200"/>
            <w:shd w:fill="F2F2F2" w:val="clear"/>
          </w:tcPr>
          <w:p>
            <w:r>
              <w:rPr>
                <w:b/>
                <w:bCs/>
              </w:rPr>
              <w:t xml:space="preserve">Margins</w:t>
            </w:r>
          </w:p>
        </w:tc>
        <w:tc>
          <w:tcPr>
            <w:tcW w:type="dxa" w:w="5800"/>
          </w:tcPr>
          <w:p>
            <w:r>
              <w:t xml:space="preserve">OPM compressed 17% (FY24) -&gt; ~14-15% (FY25-26); FY27 guide 18% OPM / 14-15% NPM (not yet delivered)</w:t>
            </w:r>
          </w:p>
        </w:tc>
      </w:tr>
      <w:tr>
        <w:tc>
          <w:tcPr>
            <w:tcW w:type="dxa" w:w="3200"/>
            <w:shd w:fill="F2F2F2" w:val="clear"/>
          </w:tcPr>
          <w:p>
            <w:r>
              <w:rPr>
                <w:b/>
                <w:bCs/>
              </w:rPr>
              <w:t xml:space="preserve">Cash flow / debt</w:t>
            </w:r>
          </w:p>
        </w:tc>
        <w:tc>
          <w:tcPr>
            <w:tcW w:type="dxa" w:w="5800"/>
          </w:tcPr>
          <w:p>
            <w:r>
              <w:t xml:space="preserve">Operating cash flow negative (FY24 -Rs 21 Cr; FCF -Rs 23 to -Rs 43 Cr); borrowings ~Rs 128 Cr, bank facilities enhanced to Rs 175 Cr (Jul-2026); net debt/EBITDA ~2.6x; CRISIL BBB/Stable</w:t>
            </w:r>
          </w:p>
        </w:tc>
      </w:tr>
      <w:tr>
        <w:tc>
          <w:tcPr>
            <w:tcW w:type="dxa" w:w="3200"/>
            <w:shd w:fill="F2F2F2" w:val="clear"/>
          </w:tcPr>
          <w:p>
            <w:r>
              <w:rPr>
                <w:b/>
                <w:bCs/>
              </w:rPr>
              <w:t xml:space="preserve">Capital raising</w:t>
            </w:r>
          </w:p>
        </w:tc>
        <w:tc>
          <w:tcPr>
            <w:tcW w:type="dxa" w:w="5800"/>
          </w:tcPr>
          <w:p>
            <w:r>
              <w:t xml:space="preserve">~Rs 45.6 Cr preferential fully-convertible-warrant issue (board Dec-2025, shareholder approval Jan-2026, NSE in-principle Feb-2026); zero dividend</w:t>
            </w:r>
          </w:p>
        </w:tc>
      </w:tr>
    </w:tbl>
    <w:p>
      <w:pPr>
        <w:spacing w:after="100"/>
      </w:pPr>
    </w:p>
    <w:p>
      <w:pPr>
        <w:spacing w:after="120"/>
      </w:pPr>
      <w:r>
        <w:t xml:space="preserve">The growth and returns are genuinely strong and confirmed: 3-yr sales CAGR ~36%, 3-yr profit CAGR ~59%, ROCE 20.9%, ROE 24.0%; FY26 revenue Rs 314 Cr (+25%) and PAT Rs 36 Cr (+24%), and Q1 FY27 kept it going (standalone revenue +34.7% YoY; consolidated +147% YoY as Aceitunas Sarasa began consolidating). Debtor days improved 220 -&gt; 142. But the deep read hardens the bear case rather than softening it: operating cash flow has been negative throughout the scale-up (FY24 -Rs 21 Cr; FCF trajectory -Rs 23 to -Rs 43 Cr), the cash-conversion cycle is ~230 days, borrowings sit around Rs 128 Cr with bank facilities just enhanced to Rs 175 Cr (net debt/EBITDA ~2.6x), the FY26 OPM (~15%) missed management's own 18% guide, and a ~Rs 45.6 Cr preferential warrant issue (approved through Dec-2025 to Feb-2026) is dilutive. gaurav (trusted, elevated) framed FY27 as 'make or break' and cautioned that management's forward numbers are 'ambition, not guidance'. FY27 revenue is guided at up to Rs 575 Cr (+~50%), leaning on 100% utilisation of the new unit, further capacity, a rising retail-packaging mix (currently &lt;15-20%) and the Spain integration.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2026-09-07.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FY24-FY26 annual financials via screener.in (revenue Rs 71 -&gt; 251 -&gt; 314 Cr; PAT Rs 10 -&gt; 29 -&gt; 36 Cr; OPM 17% -&gt; 14% -&gt; 15%; ROCE 20.9%; borrowings ~Rs 128 Cr; OCF FY24 -Rs 21 Cr)</w:t>
      </w:r>
    </w:p>
    <w:p>
      <w:pPr>
        <w:pStyle w:val="ListParagraph"/>
        <w:numPr>
          <w:ilvl w:val="0"/>
          <w:numId w:val="1"/>
        </w:numPr>
        <w:spacing w:after="60"/>
      </w:pPr>
      <w:r>
        <w:t xml:space="preserve">Q1 FY27 provisional business update (standalone revenue Rs 61.6 Cr +34.7% YoY; consolidated Rs 112.9 Cr +147% YoY with Aceitunas Sarasa) + FY26 earnings-call commentary (FY27 revenue guide ~Rs 575 Cr, 18% OPM target, retail mix &lt;15-20%)</w:t>
      </w:r>
    </w:p>
    <w:p>
      <w:pPr>
        <w:pStyle w:val="ListParagraph"/>
        <w:numPr>
          <w:ilvl w:val="0"/>
          <w:numId w:val="1"/>
        </w:numPr>
        <w:spacing w:after="60"/>
      </w:pPr>
      <w:r>
        <w:t xml:space="preserve">BSE/NSE announcements Dec-2025 to Jul-2026 (preferential warrant issue ~Rs 45.6 Cr and its approvals; bank facilities enhanced to Rs 175 Cr; CRISIL BBB/Stable reaffirmed Jul-2026; Aceitunas Sarasa completion)</w:t>
      </w:r>
    </w:p>
    <w:p>
      <w:pPr>
        <w:spacing w:after="120"/>
      </w:pPr>
      <w:r>
        <w:rPr>
          <w:b/>
          <w:bCs/>
          <w:sz w:val="20"/>
          <w:szCs w:val="20"/>
        </w:rPr>
        <w:t xml:space="preserve">Annual-report findings (3-year view):</w:t>
      </w:r>
    </w:p>
    <w:p>
      <w:pPr>
        <w:pStyle w:val="ListParagraph"/>
        <w:numPr>
          <w:ilvl w:val="0"/>
          <w:numId w:val="1"/>
        </w:numPr>
        <w:spacing w:after="60"/>
      </w:pPr>
      <w:r>
        <w:t xml:space="preserve">Revenue Rs 71 Cr (FY24) -&gt; Rs 251 Cr (FY25) -&gt; Rs 314 Cr (FY26); PAT Rs 10 -&gt; 29 -&gt; 36 Cr; 3-yr sales CAGR ~36%, profit CAGR ~59%</w:t>
      </w:r>
    </w:p>
    <w:p>
      <w:pPr>
        <w:pStyle w:val="ListParagraph"/>
        <w:numPr>
          <w:ilvl w:val="0"/>
          <w:numId w:val="1"/>
        </w:numPr>
        <w:spacing w:after="60"/>
      </w:pPr>
      <w:r>
        <w:t xml:space="preserve">OPM compressed from ~17% (FY24) to ~14-15% (FY25-FY26) through the capacity ramp - operating leverage has not shown up despite volume growth</w:t>
      </w:r>
    </w:p>
    <w:p>
      <w:pPr>
        <w:pStyle w:val="ListParagraph"/>
        <w:numPr>
          <w:ilvl w:val="0"/>
          <w:numId w:val="1"/>
        </w:numPr>
        <w:spacing w:after="60"/>
      </w:pPr>
      <w:r>
        <w:t xml:space="preserve">Operating cash flow negative (FY24 -Rs 21 Cr); FCF trajectory -Rs 23 to -Rs 43 Cr; cash-conversion cycle ~230 days; working-capital days rose 75.9 -&gt; 117 even as debtor days improved 220 -&gt; 142</w:t>
      </w:r>
    </w:p>
    <w:p>
      <w:pPr>
        <w:pStyle w:val="ListParagraph"/>
        <w:numPr>
          <w:ilvl w:val="0"/>
          <w:numId w:val="1"/>
        </w:numPr>
        <w:spacing w:after="60"/>
      </w:pPr>
      <w:r>
        <w:t xml:space="preserve">Borrowings ~Rs 128 Cr (FY24-FY25 flat); bank facilities enhanced to Rs 175 Cr (Jul-2026); net debt/EBITDA ~2.6x; CRISIL BBB/Stable</w:t>
      </w:r>
    </w:p>
    <w:p>
      <w:pPr>
        <w:pStyle w:val="ListParagraph"/>
        <w:numPr>
          <w:ilvl w:val="0"/>
          <w:numId w:val="1"/>
        </w:numPr>
        <w:spacing w:after="60"/>
      </w:pPr>
      <w:r>
        <w:t xml:space="preserve">Promoters 62.58% (no pledge); zero dividend despite consistent profitability</w:t>
      </w:r>
    </w:p>
    <w:p>
      <w:pPr>
        <w:pStyle w:val="ListParagraph"/>
        <w:numPr>
          <w:ilvl w:val="0"/>
          <w:numId w:val="1"/>
        </w:numPr>
        <w:spacing w:after="60"/>
      </w:pPr>
      <w:r>
        <w:t xml:space="preserve">ROCE 20.9%, ROE 24.0% (3-yr ROE 29.0%) - strong but the 3-yr-vs-current gap suggests returns normalising down as the capital base expands</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Annual YoY revenue: FY25 +253% (base year), FY26 +25%; Q1 FY27 standalone +34.7%, consolidated +147% (Aceitunas Sarasa consolidation - largely inorganic)</w:t>
      </w:r>
    </w:p>
    <w:p>
      <w:pPr>
        <w:pStyle w:val="ListParagraph"/>
        <w:numPr>
          <w:ilvl w:val="0"/>
          <w:numId w:val="1"/>
        </w:numPr>
        <w:spacing w:after="60"/>
      </w:pPr>
      <w:r>
        <w:t xml:space="preserve">Q1 FY27 was only a provisional revenue update; full consolidated P&amp;L (PAT, EBITDA) not yet released</w:t>
      </w:r>
    </w:p>
    <w:p>
      <w:pPr>
        <w:pStyle w:val="ListParagraph"/>
        <w:numPr>
          <w:ilvl w:val="0"/>
          <w:numId w:val="1"/>
        </w:numPr>
        <w:spacing w:after="60"/>
      </w:pPr>
      <w:r>
        <w:t xml:space="preserve">Organic (standalone) growth is a steadier ~25-35%; the headline consolidated jump is the Spain deal</w:t>
      </w:r>
    </w:p>
    <w:p>
      <w:pPr>
        <w:pStyle w:val="ListParagraph"/>
        <w:numPr>
          <w:ilvl w:val="0"/>
          <w:numId w:val="1"/>
        </w:numPr>
        <w:spacing w:after="60"/>
      </w:pPr>
      <w:r>
        <w:t xml:space="preserve">Concall tone constructive on demand and the retail push, but management explicitly frames FY27 numbers as conservative 'ambition', not firm guidance (per gaurav, trusted)</w:t>
      </w:r>
    </w:p>
    <w:p>
      <w:pPr>
        <w:spacing w:after="120"/>
      </w:pPr>
      <w:r>
        <w:rPr>
          <w:b/>
          <w:bCs/>
          <w:sz w:val="20"/>
          <w:szCs w:val="20"/>
        </w:rPr>
        <w:t xml:space="preserve">Exchange announcements (last 6 months):</w:t>
      </w:r>
    </w:p>
    <w:p>
      <w:pPr>
        <w:pStyle w:val="ListParagraph"/>
        <w:numPr>
          <w:ilvl w:val="0"/>
          <w:numId w:val="1"/>
        </w:numPr>
        <w:spacing w:after="60"/>
      </w:pPr>
      <w:r>
        <w:t xml:space="preserve">Dec-2025: board approved ~Rs 45.6 Cr preferential issue of fully convertible warrants; shareholder approval Jan-8-2026; NSE in-principle Feb-27-2026; further board action Mar-13-2026</w:t>
      </w:r>
    </w:p>
    <w:p>
      <w:pPr>
        <w:pStyle w:val="ListParagraph"/>
        <w:numPr>
          <w:ilvl w:val="0"/>
          <w:numId w:val="1"/>
        </w:numPr>
        <w:spacing w:after="60"/>
      </w:pPr>
      <w:r>
        <w:t xml:space="preserve">Q1 FY27: Aceitunas Sarasa (Spain) acquisition completed and consolidating - B2C table olives + gherkins</w:t>
      </w:r>
    </w:p>
    <w:p>
      <w:pPr>
        <w:pStyle w:val="ListParagraph"/>
        <w:numPr>
          <w:ilvl w:val="0"/>
          <w:numId w:val="1"/>
        </w:numPr>
        <w:spacing w:after="60"/>
      </w:pPr>
      <w:r>
        <w:t xml:space="preserve">Jul-2026: bank facilities enhanced to Rs 175 Cr; CRISIL rating reaffirmed BBB/Stable</w:t>
      </w:r>
    </w:p>
    <w:p>
      <w:pPr>
        <w:pStyle w:val="ListParagraph"/>
        <w:numPr>
          <w:ilvl w:val="0"/>
          <w:numId w:val="1"/>
        </w:numPr>
        <w:spacing w:after="60"/>
      </w:pPr>
      <w:r>
        <w:t xml:space="preserve">FY27 revenue guidance ~Rs 575 Cr (up to +50%), targeting 100% utilisation on the new unit plus further capacity for &gt;30% growth over the FY26 base</w:t>
      </w:r>
    </w:p>
    <w:p>
      <w:pPr>
        <w:spacing w:after="120"/>
      </w:pPr>
      <w:r>
        <w:rPr>
          <w:b/>
          <w:bCs/>
          <w:sz w:val="20"/>
          <w:szCs w:val="20"/>
        </w:rPr>
        <w:t xml:space="preserve">Key new facts vs. the prior write-up:</w:t>
      </w:r>
    </w:p>
    <w:p>
      <w:pPr>
        <w:pStyle w:val="ListParagraph"/>
        <w:numPr>
          <w:ilvl w:val="0"/>
          <w:numId w:val="1"/>
        </w:numPr>
        <w:spacing w:after="60"/>
      </w:pPr>
      <w:r>
        <w:t xml:space="preserve">The FY27 fund raise gaurav flagged is now concrete and sized: ~Rs 45.6 Cr preferential warrants, fully approved by Feb-2026 - dilutive but modest</w:t>
      </w:r>
    </w:p>
    <w:p>
      <w:pPr>
        <w:pStyle w:val="ListParagraph"/>
        <w:numPr>
          <w:ilvl w:val="0"/>
          <w:numId w:val="1"/>
        </w:numPr>
        <w:spacing w:after="60"/>
      </w:pPr>
      <w:r>
        <w:t xml:space="preserve">Balance sheet is more stretched than the prior write-up recorded: bank facilities enhanced to Rs 175 Cr, net debt/EBITDA ~2.6x, CRISIL BBB</w:t>
      </w:r>
    </w:p>
    <w:p>
      <w:pPr>
        <w:pStyle w:val="ListParagraph"/>
        <w:numPr>
          <w:ilvl w:val="0"/>
          <w:numId w:val="1"/>
        </w:numPr>
        <w:spacing w:after="60"/>
      </w:pPr>
      <w:r>
        <w:t xml:space="preserve">FY26 OPM (~15%) missed management's own 18% guide - a real guidance-credibility ding</w:t>
      </w:r>
    </w:p>
    <w:p>
      <w:pPr>
        <w:pStyle w:val="ListParagraph"/>
        <w:numPr>
          <w:ilvl w:val="0"/>
          <w:numId w:val="1"/>
        </w:numPr>
        <w:spacing w:after="60"/>
      </w:pPr>
      <w:r>
        <w:t xml:space="preserve">Spain drove a +147% consolidated revenue jump in Q1 FY27, but PAT accretion and integration cost are not yet visible</w:t>
      </w:r>
    </w:p>
    <w:p>
      <w:pPr>
        <w:spacing w:after="120"/>
      </w:pPr>
      <w:r>
        <w:rPr>
          <w:b/>
          <w:bCs/>
          <w:sz w:val="20"/>
          <w:szCs w:val="20"/>
        </w:rPr>
        <w:t xml:space="preserve">Open questions / what to watch:</w:t>
      </w:r>
    </w:p>
    <w:p>
      <w:pPr>
        <w:pStyle w:val="ListParagraph"/>
        <w:numPr>
          <w:ilvl w:val="0"/>
          <w:numId w:val="1"/>
        </w:numPr>
        <w:spacing w:after="60"/>
      </w:pPr>
      <w:r>
        <w:t xml:space="preserve">Does H1 FY27 operating cash flow finally turn positive, or does the working-capital build continue?</w:t>
      </w:r>
    </w:p>
    <w:p>
      <w:pPr>
        <w:pStyle w:val="ListParagraph"/>
        <w:numPr>
          <w:ilvl w:val="0"/>
          <w:numId w:val="1"/>
        </w:numPr>
        <w:spacing w:after="60"/>
      </w:pPr>
      <w:r>
        <w:t xml:space="preserve">What is Aceitunas Sarasa's standalone margin and PAT contribution, net of integration and FX?</w:t>
      </w:r>
    </w:p>
    <w:p>
      <w:pPr>
        <w:pStyle w:val="ListParagraph"/>
        <w:numPr>
          <w:ilvl w:val="0"/>
          <w:numId w:val="1"/>
        </w:numPr>
        <w:spacing w:after="60"/>
      </w:pPr>
      <w:r>
        <w:t xml:space="preserve">Will FY27 OPM move toward the 18% guide, or stay ~15%?</w:t>
      </w:r>
    </w:p>
    <w:p>
      <w:pPr>
        <w:pStyle w:val="ListParagraph"/>
        <w:numPr>
          <w:ilvl w:val="0"/>
          <w:numId w:val="1"/>
        </w:numPr>
        <w:spacing w:after="60"/>
      </w:pPr>
      <w:r>
        <w:t xml:space="preserve">At what price were the ~Rs 45.6 Cr warrants issued, and to whom (promoter vs external)?</w:t>
      </w:r>
    </w:p>
    <w:p>
      <w:pPr>
        <w:pStyle w:val="ListParagraph"/>
        <w:numPr>
          <w:ilvl w:val="0"/>
          <w:numId w:val="1"/>
        </w:numPr>
        <w:spacing w:after="60"/>
      </w:pPr>
      <w:r>
        <w:t xml:space="preserve">Only ~2 fiscal years (FY25-FY26) of clean listed filings exist - too short for a Coffee Can persistence (track_record) check; revisit after FY27</w:t>
      </w:r>
    </w:p>
    <w:p>
      <w:pPr>
        <w:spacing w:after="120" w:before="120"/>
      </w:pPr>
      <w:r>
        <w:rPr>
          <w:b/>
          <w:bCs/>
          <w:sz w:val="20"/>
          <w:szCs w:val="20"/>
        </w:rPr>
        <w:t xml:space="preserve">Conviction impact: </w:t>
      </w:r>
      <w:r>
        <w:rPr>
          <w:sz w:val="20"/>
          <w:szCs w:val="20"/>
        </w:rPr>
        <w:t xml:space="preserve">Medium -&gt; Low-Medium. Growth (FY26 +25% rev / +24% PAT, Q1 FY27 standalone +34.7%) and returns (ROCE 20.9%) are confirmed strong, but the deep read concretely worsened the balance-sheet picture - facilities enhanced to Rs 175 Cr, a ~Rs 45.6 Cr dilutive warrant issue approved, still-negative operating cash flow, ~230-day cash-conversion cycle, and a missed 18% OPM guide - in a self-described make-or-break FY27, with only an elevated-tier (not core) trusted user tracking it cautiously.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Aceitunas Sarasa (Spain) integration - B2C table olives + gherkins, European base</w:t>
            </w:r>
          </w:p>
        </w:tc>
        <w:tc>
          <w:tcPr>
            <w:tcW w:type="dxa" w:w="2400"/>
          </w:tcPr>
          <w:p>
            <w:r>
              <w:rPr>
                <w:b w:val="false"/>
                <w:bCs w:val="false"/>
                <w:sz w:val="18"/>
                <w:szCs w:val="18"/>
              </w:rPr>
              <w:t xml:space="preserve">acquisition completed; consolidating from Q1 FY27 (+147% consolidated revenue YoY)</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100% utilisation on the new second processing unit + add further capacity for &gt;30% growth over FY26</w:t>
            </w:r>
          </w:p>
        </w:tc>
        <w:tc>
          <w:tcPr>
            <w:tcW w:type="dxa" w:w="2400"/>
          </w:tcPr>
          <w:p>
            <w:r>
              <w:rPr>
                <w:b w:val="false"/>
                <w:bCs w:val="false"/>
                <w:sz w:val="18"/>
                <w:szCs w:val="18"/>
              </w:rPr>
              <w:t xml:space="preserve">second unit commissioned in FY26 (~2x capacity)</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up to ~Rs 575 Cr (up to +50% over FY26)</w:t>
            </w:r>
          </w:p>
        </w:tc>
        <w:tc>
          <w:tcPr>
            <w:tcW w:type="dxa" w:w="2400"/>
          </w:tcPr>
          <w:p>
            <w:r>
              <w:rPr>
                <w:b w:val="false"/>
                <w:bCs w:val="false"/>
                <w:sz w:val="18"/>
                <w:szCs w:val="18"/>
              </w:rPr>
              <w:t xml:space="preserve">FY26 base ~Rs 314 Cr; management calls it conservative 'ambition'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OPM to ~18% (NPM 14-15%), aided by retail-packaging mix rising from &lt;15-20%</w:t>
            </w:r>
          </w:p>
        </w:tc>
        <w:tc>
          <w:tcPr>
            <w:tcW w:type="dxa" w:w="2400"/>
          </w:tcPr>
          <w:p>
            <w:r>
              <w:rPr>
                <w:b w:val="false"/>
                <w:bCs w:val="false"/>
                <w:sz w:val="18"/>
                <w:szCs w:val="18"/>
              </w:rPr>
              <w:t xml:space="preserve">FY26 delivered ~15% OPM vs the 18% guide</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~Rs 45.6 Cr preferential issue of fully convertible warrants</w:t>
            </w:r>
          </w:p>
        </w:tc>
        <w:tc>
          <w:tcPr>
            <w:tcW w:type="dxa" w:w="2400"/>
          </w:tcPr>
          <w:p>
            <w:r>
              <w:rPr>
                <w:b w:val="false"/>
                <w:bCs w:val="false"/>
                <w:sz w:val="18"/>
                <w:szCs w:val="18"/>
              </w:rPr>
              <w:t xml:space="preserve">board Dec-2025; shareholder approval Jan-2026; NSE in-principle Feb-2026</w:t>
            </w:r>
          </w:p>
        </w:tc>
        <w:tc>
          <w:tcPr>
            <w:tcW w:type="dxa" w:w="900"/>
          </w:tcPr>
          <w:p>
            <w:r>
              <w:rPr>
                <w:b w:val="false"/>
                <w:bCs w:val="false"/>
                <w:sz w:val="18"/>
                <w:szCs w:val="18"/>
              </w:rPr>
              <w:t xml:space="preserve">12M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new 2nd unit capacity + Aceitunas Sarasa (Spain) acquisition</w:t>
      </w:r>
      <w:r>
        <w:rPr>
          <w:color w:val="666666"/>
          <w:sz w:val="20"/>
          <w:szCs w:val="20"/>
        </w:rPr>
        <w:t xml:space="preserve"> → </w:t>
      </w:r>
      <w:r>
        <w:rPr>
          <w:b w:val="false"/>
          <w:bCs w:val="false"/>
          <w:sz w:val="20"/>
          <w:szCs w:val="20"/>
        </w:rPr>
        <w:t xml:space="preserve">revenue growth (India gherkins + Spain olives/retail)</w:t>
      </w:r>
      <w:r>
        <w:rPr>
          <w:color w:val="666666"/>
          <w:sz w:val="20"/>
          <w:szCs w:val="20"/>
        </w:rPr>
        <w:t xml:space="preserve"> → </w:t>
      </w:r>
      <w:r>
        <w:rPr>
          <w:b w:val="false"/>
          <w:bCs w:val="false"/>
          <w:sz w:val="20"/>
          <w:szCs w:val="20"/>
        </w:rPr>
        <w:t xml:space="preserve">retail-packaging mix up -&gt; margin</w:t>
      </w:r>
      <w:r>
        <w:rPr>
          <w:color w:val="666666"/>
          <w:sz w:val="20"/>
          <w:szCs w:val="20"/>
        </w:rPr>
        <w:t xml:space="preserve"> → </w:t>
      </w:r>
      <w:r>
        <w:rPr>
          <w:b w:val="false"/>
          <w:bCs w:val="false"/>
          <w:sz w:val="20"/>
          <w:szCs w:val="20"/>
        </w:rPr>
        <w:t xml:space="preserve">operating leverage on the new unit</w:t>
      </w:r>
      <w:r>
        <w:rPr>
          <w:color w:val="666666"/>
          <w:sz w:val="20"/>
          <w:szCs w:val="20"/>
        </w:rPr>
        <w:t xml:space="preserve"> → </w:t>
      </w:r>
      <w:r>
        <w:rPr>
          <w:b w:val="false"/>
          <w:bCs w:val="false"/>
          <w:sz w:val="20"/>
          <w:szCs w:val="20"/>
        </w:rPr>
        <w:t xml:space="preserve">PAT</w:t>
      </w:r>
      <w:r>
        <w:rPr>
          <w:color w:val="666666"/>
          <w:sz w:val="20"/>
          <w:szCs w:val="20"/>
        </w:rPr>
        <w:t xml:space="preserve"> → </w:t>
      </w:r>
      <w:r>
        <w:rPr>
          <w:b w:val="false"/>
          <w:bCs w:val="false"/>
          <w:sz w:val="20"/>
          <w:szCs w:val="20"/>
        </w:rPr>
        <w:t xml:space="preserve">operating cash flow (currently negative)</w:t>
      </w:r>
    </w:p>
    <w:p>
      <w:pPr>
        <w:spacing w:after="120"/>
      </w:pPr>
      <w:r>
        <w:rPr>
          <w:color w:val="666666"/>
          <w:sz w:val="18"/>
          <w:szCs w:val="18"/>
        </w:rPr>
        <w:t xml:space="preserve">Bottleneck link: operating cash conversion (cash-conversion cycle ~230 days; OCF negative through the scale-up).</w:t>
      </w:r>
    </w:p>
    <w:p>
      <w:pPr>
        <w:spacing w:after="120"/>
      </w:pPr>
      <w:r>
        <w:rPr>
          <w:color w:val="666666"/>
          <w:sz w:val="18"/>
          <w:szCs w:val="18"/>
        </w:rPr>
        <w:t xml:space="preserve">Operating leverage: unclear - OPM slipped from ~17% (FY24) to ~15% (FY26) despite large volume growth</w:t>
      </w:r>
    </w:p>
    <w:p>
      <w:pPr>
        <w:spacing w:after="120"/>
      </w:pPr>
      <w:r>
        <w:rPr>
          <w:color w:val="666666"/>
          <w:sz w:val="18"/>
          <w:szCs w:val="18"/>
        </w:rPr>
        <w:t xml:space="preserve">Evidenced: new 2nd unit capacity + Aceitunas Sarasa (Spain) acquisition; revenue growth (India gherkins + Spain olives/retail). Still assumed: retail-packaging mix up -&gt; margin; operating leverage on the new unit; operating cash flow (currently negative).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2026-09-07</w:t>
            </w:r>
          </w:p>
        </w:tc>
      </w:tr>
      <w:tr>
        <w:tc>
          <w:tcPr>
            <w:tcW w:type="dxa" w:w="3200"/>
            <w:shd w:fill="F2F2F2" w:val="clear"/>
          </w:tcPr>
          <w:p>
            <w:r>
              <w:rPr>
                <w:b/>
                <w:bCs/>
              </w:rPr>
              <w:t xml:space="preserve">Price / multiple</w:t>
            </w:r>
          </w:p>
        </w:tc>
        <w:tc>
          <w:tcPr>
            <w:tcW w:type="dxa" w:w="5800"/>
          </w:tcPr>
          <w:p>
            <w:r>
              <w:t xml:space="preserve">Rs 431 · 28x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~25-30% EPS CAGR FY26-28 to justify ~28x trailing at an ~18-20x exit (agri-processing, leveraged, cash-flow-negative -&gt; a sub-compounder exit multiple)</w:t>
            </w:r>
          </w:p>
        </w:tc>
      </w:tr>
      <w:tr>
        <w:tc>
          <w:tcPr>
            <w:tcW w:type="dxa" w:w="3200"/>
            <w:shd w:fill="F2F2F2" w:val="clear"/>
          </w:tcPr>
          <w:p>
            <w:r>
              <w:rPr>
                <w:b/>
                <w:bCs/>
              </w:rPr>
              <w:t xml:space="preserve">Our FY27</w:t>
            </w:r>
          </w:p>
        </w:tc>
        <w:tc>
          <w:tcPr>
            <w:tcW w:type="dxa" w:w="5800"/>
          </w:tcPr>
          <w:p>
            <w:r>
              <w:t xml:space="preserve">revenue ~Rs 480-560 Cr (+50-80% consolidated incl. Spain), OPM ~14-15% (below the 18% guide), PAT ~Rs 48-58 Cr; operating cash flow likely still negative on the working-capital build</w:t>
            </w:r>
          </w:p>
        </w:tc>
      </w:tr>
      <w:tr>
        <w:tc>
          <w:tcPr>
            <w:tcW w:type="dxa" w:w="3200"/>
            <w:shd w:fill="F2F2F2" w:val="clear"/>
          </w:tcPr>
          <w:p>
            <w:r>
              <w:rPr>
                <w:b/>
                <w:bCs/>
              </w:rPr>
              <w:t xml:space="preserve">Our FY28</w:t>
            </w:r>
          </w:p>
        </w:tc>
        <w:tc>
          <w:tcPr>
            <w:tcW w:type="dxa" w:w="5800"/>
          </w:tcPr>
          <w:p>
            <w:r>
              <w:t xml:space="preserve">if Spain integrates and retail mix rises: revenue ~Rs 650-750 Cr, OPM toward 16%, PAT ~Rs 70-85 Cr</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Spain consolidation roughly doubles consolidated revenue but PAT accretion and integration cost are unproven; warrant dilution and persistent negative operating cash flow cap how much of the topline jump reaches per-share value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H1 FY27 consolidated results - Aceitunas Sarasa PAT accretion, OPM vs the 18% guide, and operating cash flow direction</w:t>
      </w:r>
      <w:r>
        <w:rPr>
          <w:color w:val="666666"/>
          <w:sz w:val="18"/>
          <w:szCs w:val="18"/>
        </w:rPr>
        <w:t xml:space="preserve"> (window ~3M from 2026-09-07;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processed-agri exports - gherkins / pickled vegetables / table olives, plus a B2C retail push</w:t>
            </w:r>
          </w:p>
        </w:tc>
      </w:tr>
      <w:tr>
        <w:tc>
          <w:tcPr>
            <w:tcW w:type="dxa" w:w="3200"/>
            <w:shd w:fill="F2F2F2" w:val="clear"/>
          </w:tcPr>
          <w:p>
            <w:r>
              <w:rPr>
                <w:b/>
                <w:bCs/>
              </w:rPr>
              <w:t xml:space="preserve">This company's position</w:t>
            </w:r>
          </w:p>
        </w:tc>
        <w:tc>
          <w:tcPr>
            <w:tcW w:type="dxa" w:w="5800"/>
          </w:tcPr>
          <w:p>
            <w:r>
              <w:t xml:space="preserve">India's #3 gherkin exporter; forward-integrating into B2C retail packaging and, via Spain, into olives</w:t>
            </w:r>
          </w:p>
        </w:tc>
      </w:tr>
      <w:tr>
        <w:tc>
          <w:tcPr>
            <w:tcW w:type="dxa" w:w="3200"/>
            <w:shd w:fill="F2F2F2" w:val="clear"/>
          </w:tcPr>
          <w:p>
            <w:r>
              <w:rPr>
                <w:b/>
                <w:bCs/>
              </w:rPr>
              <w:t xml:space="preserve">Bottleneck node (pricing power)</w:t>
            </w:r>
          </w:p>
        </w:tc>
        <w:tc>
          <w:tcPr>
            <w:tcW w:type="dxa" w:w="5800"/>
          </w:tcPr>
          <w:p>
            <w:r>
              <w:t xml:space="preserve">raw gherkin/cucumber crop contracting with farmers + processing/cold-chain capacity + working-capital funding</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Global Green Company, Ken Agritech / Nedspice (unlisted), Reitzel India (unlisted), Unived / regional processors (unlisted)</w:t>
            </w:r>
          </w:p>
        </w:tc>
      </w:tr>
    </w:tbl>
    <w:p>
      <w:pPr>
        <w:spacing w:after="120"/>
      </w:pPr>
      <w:r>
        <w:rPr>
          <w:color w:val="666666"/>
          <w:sz w:val="18"/>
          <w:szCs w:val="18"/>
        </w:rPr>
        <w:t xml:space="preserve">India's supply-side advantage is structural (China ~83-84% of global gherkin production; buyers diversifying), but the processing step is low-moat and buyer-concentrated. The retail / branded push (currently &lt;15-20% of mix) is the only real pricing-power lever and it is early.</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operating leverage on the second unit (structural if utilisation holds - not yet visible); retail-packaging mix (structural, still &lt;15-20% of sales); gherkin crop cost + FX on exports (cyclical).</w:t>
      </w:r>
    </w:p>
    <w:p>
      <w:pPr>
        <w:spacing w:after="120"/>
      </w:pPr>
      <w:r>
        <w:rPr>
          <w:color w:val="666666"/>
          <w:sz w:val="18"/>
          <w:szCs w:val="18"/>
        </w:rPr>
        <w:t xml:space="preserve">OPM has compressed from ~17% (FY24) to ~14-15% (FY25-FY26) during the ramp - current margin is at or below a through-cycle level, not a peak. Management guides 18% but has not delivered it.</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annual YoY revenue: FY24 base, FY25 +253%, FY26 +25%; Q1 FY27 standalone +34.7%, consolidated +147% (Aceitunas Sarasa consolidation). Organic (standalone) growth is a steadier ~25-35%; the headline jump is inorganic.</w:t>
      </w:r>
    </w:p>
    <w:p>
      <w:pPr>
        <w:spacing w:after="120"/>
      </w:pPr>
      <w:r>
        <w:rPr>
          <w:color w:val="666666"/>
          <w:sz w:val="18"/>
          <w:szCs w:val="18"/>
        </w:rPr>
        <w:t xml:space="preserve">Reverse P/E: ~28x trailing needs ~25-30% EPS CAGR FY26-28 at an ~18-20x exit; organic standalone growth ~30% roughly supports the rate, but margin slippage and warrant dilution erode per-share delivery.</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Aggressive growth inside ~18 months: a second unit (~2x capacity), a cross-border acquisition (Spain), and a ~Rs 45.6 Cr warrant raise - all while operating cash flow is negative and net debt/EBITDA is ~2.6x. Headline incremental ROCE still ~21% but funded by debt + equity, not accruals.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move from bulk-export gherkins toward B2C retail packaging and branded table olives via the Spain acquisition</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20.9% (declining)</w:t>
            </w:r>
          </w:p>
        </w:tc>
      </w:tr>
      <w:tr>
        <w:tc>
          <w:tcPr>
            <w:tcW w:type="dxa" w:w="3200"/>
            <w:shd w:fill="F2F2F2" w:val="clear"/>
          </w:tcPr>
          <w:p>
            <w:r>
              <w:rPr>
                <w:b/>
                <w:bCs/>
              </w:rPr>
              <w:t xml:space="preserve">Leverage</w:t>
            </w:r>
          </w:p>
        </w:tc>
        <w:tc>
          <w:tcPr>
            <w:tcW w:type="dxa" w:w="5800"/>
          </w:tcPr>
          <w:p>
            <w:r>
              <w:t xml:space="preserve">Net debt/EBITDA 2.6x</w:t>
            </w:r>
          </w:p>
        </w:tc>
      </w:tr>
      <w:tr>
        <w:tc>
          <w:tcPr>
            <w:tcW w:type="dxa" w:w="3200"/>
            <w:shd w:fill="F2F2F2" w:val="clear"/>
          </w:tcPr>
          <w:p>
            <w:r>
              <w:rPr>
                <w:b/>
                <w:bCs/>
              </w:rPr>
              <w:t xml:space="preserve">FCF conversion</w:t>
            </w:r>
          </w:p>
        </w:tc>
        <w:tc>
          <w:tcPr>
            <w:tcW w:type="dxa" w:w="5800"/>
          </w:tcPr>
          <w:p>
            <w:r>
              <w:t xml:space="preserve">-50%</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neutral</w:t>
            </w:r>
          </w:p>
        </w:tc>
      </w:tr>
    </w:tbl>
    <w:p>
      <w:pPr>
        <w:pStyle w:val="Heading1"/>
        <w:spacing w:after="120" w:before="280"/>
      </w:pPr>
      <w:r>
        <w:t xml:space="preserve">Technical Read (Weekly / Monthly MACD + Bollinger Bands, or RSI/CCI/Williams %R proxy)</w:t>
      </w:r>
    </w:p>
    <w:p>
      <w:pPr>
        <w:spacing w:after="120"/>
      </w:pPr>
      <w:r>
        <w:t xml:space="preserve">Not pulled this pass. Per the trusted-thread queueing quote (vikas_sinha), the stock ran almost 3x in about six months, with the Spain acquisition news breaking near the low - a momentum-driven micro-cap re-rating; up ~113% over the past year and now ~28x trailing.</w:t>
      </w:r>
    </w:p>
    <w:p>
      <w:pPr>
        <w:pStyle w:val="Heading1"/>
        <w:spacing w:after="120" w:before="280"/>
      </w:pPr>
      <w:r>
        <w:t xml:space="preserve">ValuePickr Community Signal</w:t>
      </w:r>
    </w:p>
    <w:p>
      <w:pPr>
        <w:spacing w:after="120"/>
      </w:pPr>
      <w:r>
        <w:t xml:space="preserve">Read all 16 posts in this small, brand-new thread. Mayank_Jham's opening post frames this as a classic 'inflexion-point setup' - doubled capacity plus international diversification. The most recent post (gaurav, trusted) provides a balanced, non-promotional read of the Q4 FY26 results: real growth, but with explicit caveats around cash flow and margins.</w:t>
      </w:r>
    </w:p>
    <w:p>
      <w:pPr>
        <w:spacing w:after="120"/>
      </w:pPr>
      <w:r>
        <w:rPr>
          <w:b/>
          <w:bCs/>
          <w:sz w:val="20"/>
          <w:szCs w:val="20"/>
        </w:rPr>
        <w:t xml:space="preserve">High-conviction call from a top contributor: </w:t>
      </w:r>
      <w:r>
        <w:rPr>
          <w:sz w:val="20"/>
          <w:szCs w:val="20"/>
        </w:rPr>
        <w:t xml:space="preserve">gaurav (trusted, elevated) gave the most substantive and recent assessment: confirmed strong topline/profit growth beating expectations, but explicitly cautioned against treating management's forward commentary as guidance ('through word play it looks more of an ambition'), and flagged negative operating cash flow, margin compression, and the need to watch working capital and a fund raise in FY27 - the fund raise has since been approved (~Rs 45.6 Cr warrants). This is a measured, risk-aware trusted view, not blanket bullishness - consistent with vikas_sinha's original queueing mention describing the re-rating as a 'booster effect'.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 (Q4 FY26 results reaction) — gaurav, vikas_sinha (both trusted)</w:t>
      </w:r>
      <w:r>
        <w:rPr>
          <w:i/>
          <w:iCs/>
          <w:color w:val="666666"/>
          <w:sz w:val="18"/>
          <w:szCs w:val="18"/>
        </w:rPr>
        <w:t xml:space="preserve"> (Freshara Agro Exports company thread + The Anti-Portfolio (queueing source))</w:t>
      </w:r>
      <w:r>
        <w:rPr>
          <w:sz w:val="20"/>
          <w:szCs w:val="20"/>
        </w:rPr>
        <w:br/>
        <w:t xml:space="preserve">: vikas_sinha flagged Freshara as a new addition that 'performed... almost 3x but took only about half a year.' gaurav's more recent, detailed Q4 FY26 read confirms genuine growth (revenue +34%, PAT +32%) but flags negative operating cash flow, margin compression, and a potential FY27 fund raise as real risks to watch.</w:t>
      </w:r>
    </w:p>
    <w:p>
      <w:pPr>
        <w:pStyle w:val="Heading1"/>
        <w:spacing w:after="120" w:before="280"/>
      </w:pPr>
      <w:r>
        <w:t xml:space="preserve">BSE Corporate Actions / Other Red Flags</w:t>
      </w:r>
    </w:p>
    <w:p>
      <w:pPr>
        <w:spacing w:after="120"/>
      </w:pPr>
      <w:r>
        <w:t xml:space="preserve">No SEBI/regulatory action found; no promoter pledge, no promoter-holding collapse, no going-concern signal - the negative operating cash flow is a working-capital-heavy agri-export growth pattern, not a solvency red flag. Material items this pass: (1) board approved a ~Rs 45.6 Cr preferential issue of fully convertible warrants (Dec-2025), shareholder approval Jan-8-2026, NSE in-principle Feb-27-2026, further board action Mar-13-2026 - dilutive; (2) bank facilities enhanced to Rs 175 Cr (Jul-2026); (3) CRISIL rating reaffirmed BBB/Stable (Jul-2026); (4) Aceitunas Sarasa (Spain) acquisition completed and consolidating from Q1 FY27. No red-flag tier.</w:t>
      </w:r>
    </w:p>
    <w:p>
      <w:pPr>
        <w:pStyle w:val="Heading1"/>
        <w:spacing w:after="120" w:before="280"/>
      </w:pPr>
      <w:r>
        <w:t xml:space="preserve">Bull Case</w:t>
      </w:r>
    </w:p>
    <w:p>
      <w:pPr>
        <w:pStyle w:val="ListParagraph"/>
        <w:numPr>
          <w:ilvl w:val="0"/>
          <w:numId w:val="1"/>
        </w:numPr>
        <w:spacing w:after="60"/>
      </w:pPr>
      <w:r>
        <w:t xml:space="preserve">Confirmed, real growth: FY26 revenue +25% / PAT +24%, 3-yr sales CAGR ~36% / profit CAGR ~59%, Q1 FY27 standalone revenue +34.7% - organic momentum is intact</w:t>
      </w:r>
    </w:p>
    <w:p>
      <w:pPr>
        <w:pStyle w:val="ListParagraph"/>
        <w:numPr>
          <w:ilvl w:val="0"/>
          <w:numId w:val="1"/>
        </w:numPr>
        <w:spacing w:after="60"/>
      </w:pPr>
      <w:r>
        <w:t xml:space="preserve">Strong returns for a young company - ROCE 20.9%, ROE 24.0% - and debtor days improved 220 -&gt; 142</w:t>
      </w:r>
    </w:p>
    <w:p>
      <w:pPr>
        <w:pStyle w:val="ListParagraph"/>
        <w:numPr>
          <w:ilvl w:val="0"/>
          <w:numId w:val="1"/>
        </w:numPr>
        <w:spacing w:after="60"/>
      </w:pPr>
      <w:r>
        <w:t xml:space="preserve">Two executed catalysts: a second processing unit (~2x capacity) and the Aceitunas Sarasa (Spain) acquisition adding a B2C table-olive business and a European base</w:t>
      </w:r>
    </w:p>
    <w:p>
      <w:pPr>
        <w:pStyle w:val="ListParagraph"/>
        <w:numPr>
          <w:ilvl w:val="0"/>
          <w:numId w:val="1"/>
        </w:numPr>
        <w:spacing w:after="60"/>
      </w:pPr>
      <w:r>
        <w:t xml:space="preserve">India is a structural alternate source to China (~83-84% of global gherkin production); tiny market cap (~Rs 1,000 Cr) leaves real headroom</w:t>
      </w:r>
    </w:p>
    <w:p>
      <w:pPr>
        <w:pStyle w:val="ListParagraph"/>
        <w:numPr>
          <w:ilvl w:val="0"/>
          <w:numId w:val="1"/>
        </w:numPr>
        <w:spacing w:after="60"/>
      </w:pPr>
      <w:r>
        <w:t xml:space="preserve">The FY27 fund raise gaurav flagged is now sized and modest (~Rs 45.6 Cr warrants), removing one open question</w:t>
      </w:r>
    </w:p>
    <w:p>
      <w:pPr>
        <w:pStyle w:val="Heading1"/>
        <w:spacing w:after="120" w:before="280"/>
      </w:pPr>
      <w:r>
        <w:t xml:space="preserve">Bear Case / Key Risks</w:t>
      </w:r>
    </w:p>
    <w:p>
      <w:pPr>
        <w:pStyle w:val="ListParagraph"/>
        <w:numPr>
          <w:ilvl w:val="0"/>
          <w:numId w:val="1"/>
        </w:numPr>
        <w:spacing w:after="60"/>
      </w:pPr>
      <w:r>
        <w:t xml:space="preserve">Operating cash flow has been negative throughout the scale-up (FY24 -Rs 21 Cr; FCF -Rs 23 to -Rs 43 Cr); cash-conversion cycle ~230 days - growth is funded by debt and equity, not accruals</w:t>
      </w:r>
    </w:p>
    <w:p>
      <w:pPr>
        <w:pStyle w:val="ListParagraph"/>
        <w:numPr>
          <w:ilvl w:val="0"/>
          <w:numId w:val="1"/>
        </w:numPr>
        <w:spacing w:after="60"/>
      </w:pPr>
      <w:r>
        <w:t xml:space="preserve">Leveraged and rising: borrowings ~Rs 128 Cr, bank facilities enhanced to Rs 175 Cr, net debt/EBITDA ~2.6x, CRISIL BBB - a fragile balance sheet for a micro/small-cap</w:t>
      </w:r>
    </w:p>
    <w:p>
      <w:pPr>
        <w:pStyle w:val="ListParagraph"/>
        <w:numPr>
          <w:ilvl w:val="0"/>
          <w:numId w:val="1"/>
        </w:numPr>
        <w:spacing w:after="60"/>
      </w:pPr>
      <w:r>
        <w:t xml:space="preserve">FY26 OPM (~15%) missed management's own 18% guide; margin has compressed from ~17% (FY24); management frames forward numbers as 'ambition, not guidance' (per gaurav, trusted)</w:t>
      </w:r>
    </w:p>
    <w:p>
      <w:pPr>
        <w:pStyle w:val="ListParagraph"/>
        <w:numPr>
          <w:ilvl w:val="0"/>
          <w:numId w:val="1"/>
        </w:numPr>
        <w:spacing w:after="60"/>
      </w:pPr>
      <w:r>
        <w:t xml:space="preserve">~Rs 45.6 Cr preferential warrant issue is dilutive; zero dividend despite consistent profit</w:t>
      </w:r>
    </w:p>
    <w:p>
      <w:pPr>
        <w:pStyle w:val="ListParagraph"/>
        <w:numPr>
          <w:ilvl w:val="0"/>
          <w:numId w:val="1"/>
        </w:numPr>
        <w:spacing w:after="60"/>
      </w:pPr>
      <w:r>
        <w:t xml:space="preserve">Spain acquisition adds cross-border integration, FX and new-geography execution risk; consolidated revenue jump (+147%) is largely inorganic and per-share accretion is unproven</w:t>
      </w:r>
    </w:p>
    <w:p>
      <w:pPr>
        <w:pStyle w:val="ListParagraph"/>
        <w:numPr>
          <w:ilvl w:val="0"/>
          <w:numId w:val="1"/>
        </w:numPr>
        <w:spacing w:after="60"/>
      </w:pPr>
      <w:r>
        <w:t xml:space="preserve">Stock has re-rated ~2-3x; a self-described 'make or break' FY27 is the swing factor and only an elevated-tier (not core) trusted user is tracking it, cautiously</w:t>
      </w:r>
    </w:p>
    <w:p>
      <w:pPr>
        <w:pStyle w:val="Heading1"/>
        <w:spacing w:after="120" w:before="280"/>
      </w:pPr>
      <w:r>
        <w:t xml:space="preserve">Market-Cap Tier (informational — not a gate in this project)</w:t>
      </w:r>
    </w:p>
    <w:p>
      <w:pPr>
        <w:spacing w:after="120"/>
      </w:pPr>
      <w:r>
        <w:rPr>
          <w:b/>
          <w:bCs/>
        </w:rPr>
        <w:t xml:space="preserve">micro-cap</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tailwind yes (China ~83-84% of global gherkin production; buyers diversifying to India; capacity doubled + Spain adds olives) and tam yes (tiny ~Rs 1,000 Cr base). moat weak - processing is low-moat and buyer-concentrated; the branded retail push is early. valuation weak - ~28x trailing on a leveraged, cash-flow-negative micro-cap that has run ~2-3x, though the FY27 guide implies ~17-18x forward if delivered. Score 3.0 keeps 10x-in-2-3-years permitted; conviction Low-Medium on the balance-sheet stress.</w:t>
      </w:r>
    </w:p>
    <w:p>
      <w:pPr>
        <w:pStyle w:val="Heading1"/>
        <w:spacing w:after="120" w:before="280"/>
      </w:pPr>
      <w:r>
        <w:t xml:space="preserve">Verdict</w:t>
      </w:r>
    </w:p>
    <w:p>
      <w:pPr>
        <w:spacing w:after="120"/>
      </w:pPr>
      <w:r>
        <w:rPr>
          <w:b/>
          <w:bCs/>
          <w:sz w:val="24"/>
          <w:szCs w:val="24"/>
        </w:rPr>
        <w:t xml:space="preserve">Real ~30% organic growth and 21% ROCE from two executed catalysts (2x capacity, Spain acquisition) - but leveraged ~2.6x, persistently cash-flow-negative, diluting via warrants and missing its own margin guide, in a make-or-break FY27; conviction eased to Low-Medium</w:t>
      </w:r>
    </w:p>
    <w:p>
      <w:pPr>
        <w:pStyle w:val="ListParagraph"/>
        <w:numPr>
          <w:ilvl w:val="0"/>
          <w:numId w:val="1"/>
        </w:numPr>
        <w:spacing w:after="60"/>
      </w:pPr>
      <w:r>
        <w:t xml:space="preserve">Per the methodology-fix rule, a short/thin trailing history shouldn't sink thesis_fit when there's a strong, specific, recent-quarter catalyst - here there are two executed catalysts (capacity doubling, Aceitunas Sarasa) plus confirmed FY26 +25% revenue / +24% PAT and Q1 FY27 standalone +34.7%. four_box score 3.0 keeps '10x-in-2-3-years' permitted.</w:t>
      </w:r>
    </w:p>
    <w:p>
      <w:pPr>
        <w:pStyle w:val="ListParagraph"/>
        <w:numPr>
          <w:ilvl w:val="0"/>
          <w:numId w:val="1"/>
        </w:numPr>
        <w:spacing w:after="60"/>
      </w:pPr>
      <w:r>
        <w:t xml:space="preserve">Conviction eased Medium -&gt; Low-Medium: this pass concretely worsened the balance-sheet picture - bank facilities enhanced Rs 128 -&gt; Rs 175 Cr, a ~Rs 45.6 Cr dilutive warrant issue approved, operating cash flow still negative, cash-conversion cycle ~230 days, and FY26 OPM (~15%) below the 18% guide - heading into a year management itself calls 'make or break'.</w:t>
      </w:r>
    </w:p>
    <w:p>
      <w:pPr>
        <w:pStyle w:val="ListParagraph"/>
        <w:numPr>
          <w:ilvl w:val="0"/>
          <w:numId w:val="1"/>
        </w:numPr>
        <w:spacing w:after="60"/>
      </w:pPr>
      <w:r>
        <w:t xml:space="preserve">The trusted signal is genuine but measured and elevated-tier (not core), so no conviction floor applies: gaurav confirmed real growth but explicitly cautioned against treating management commentary as guidance and flagged exactly the cash-flow / margin / dilution risks that this deep read confirms.</w:t>
      </w:r>
    </w:p>
    <w:p>
      <w:pPr>
        <w:pStyle w:val="ListParagraph"/>
        <w:numPr>
          <w:ilvl w:val="0"/>
          <w:numId w:val="1"/>
        </w:numPr>
        <w:spacing w:after="60"/>
      </w:pPr>
      <w:r>
        <w:t xml:space="preserve">No red-flag tier - negative OCF reflects working-capital funding of real expansion, not a going-concern issue - but the leverage-plus-dilution-plus-negative-cash-flow combination is why conviction is capped below Medium until FY27 execution proves the model can self-fund.</w:t>
      </w:r>
    </w:p>
    <w:p>
      <w:pPr>
        <w:pStyle w:val="ListParagraph"/>
        <w:numPr>
          <w:ilvl w:val="0"/>
          <w:numId w:val="1"/>
        </w:numPr>
        <w:spacing w:after="60"/>
      </w:pPr>
      <w:r>
        <w:t xml:space="preserve">Re-check on H1 FY27 consolidated results: Spain PAT accretion, whether OPM recovers toward the 18% guide, and whether operating cash flow turns.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Freshara Agro Exports Ltd</w:t>
      </w:r>
    </w:p>
    <w:p>
      <w:pPr>
        <w:ind w:left="360"/>
      </w:pPr>
      <w:r>
        <w:t xml:space="preserve">  • Conviction: Not rated</w:t>
      </w:r>
    </w:p>
    <w:p>
      <w:pPr>
        <w:ind w:left="360"/>
      </w:pPr>
      <w:r>
        <w:t xml:space="preserve">  • Thesis: 10x-in-2-3-years</w:t>
      </w:r>
    </w:p>
    <w:p>
      <w:pPr>
        <w:ind w:left="360"/>
      </w:pPr>
      <w:r>
        <w:t xml:space="preserve">  • 4-Box Score: 3.0</w:t>
      </w:r>
    </w:p>
    <w:p>
      <w:pPr>
        <w:ind w:left="360"/>
      </w:pPr>
      <w:r>
        <w:t xml:space="preserve">  • Research Date: 2026-09-07</w:t>
      </w:r>
    </w:p>
    <w:p>
      <w:pPr>
        <w:ind w:left="360"/>
      </w:pPr>
      <w:r>
        <w:t xml:space="preserve">  • Red Flag: None</w:t>
      </w:r>
    </w:p>
    <w:p/>
    <w:p>
      <w:r>
        <w:rPr>
          <w:b/>
        </w:rPr>
        <w:t>📝 Verdict:</w:t>
      </w:r>
    </w:p>
    <w:p>
      <w:pPr>
        <w:ind w:left="360"/>
      </w:pPr>
      <w:r>
        <w:t>Real ~30% organic growth and 21% ROCE from two executed catalysts (2x capacity, Spain acquisition) - but leveraged ~2.6x, persistently cash-flow-negative, diluting via warrants and missing its own margin guide, in a make-or-break FY27; conviction eased to Low-Medium</w:t>
      </w:r>
    </w:p>
    <w:p/>
    <w:p>
      <w:r>
        <w:rPr>
          <w:b/>
        </w:rPr>
        <w:t>📈 Bull Case:</w:t>
      </w:r>
    </w:p>
    <w:p>
      <w:pPr>
        <w:ind w:left="360"/>
      </w:pPr>
      <w:r>
        <w:t>Confirmed, real growth: FY26 revenue +25% / PAT +24%, 3-yr sales CAGR ~36% / profit CAGR ~59%, Q1 FY27 standalone revenue +34.7% - organic momentum is intact</w:t>
      </w:r>
    </w:p>
    <w:p>
      <w:pPr>
        <w:ind w:left="360"/>
      </w:pPr>
      <w:r>
        <w:t>Strong returns for a young company - ROCE 20.9%, ROE 24.0% - and debtor days improved 220 -&gt; 142</w:t>
      </w:r>
    </w:p>
    <w:p>
      <w:pPr>
        <w:ind w:left="360"/>
      </w:pPr>
      <w:r>
        <w:t>Two executed catalysts: a second processing unit (~2x capacity) and the Aceitunas Sarasa (Spain) acquisition adding a B2C table-olive business and a European base</w:t>
      </w:r>
    </w:p>
    <w:p>
      <w:pPr>
        <w:ind w:left="360"/>
      </w:pPr>
      <w:r>
        <w:t>India is a structural alternate source to China (~83-84% of global gherkin production); tiny market cap (~Rs 1,000 Cr) leaves real headroom</w:t>
      </w:r>
    </w:p>
    <w:p>
      <w:pPr>
        <w:ind w:left="360"/>
      </w:pPr>
      <w:r>
        <w:t>The FY27 fund raise gaurav flagged is now sized and modest (~Rs 45.6 Cr warrants), removing one open question</w:t>
      </w:r>
    </w:p>
    <w:p/>
    <w:p>
      <w:r>
        <w:rPr>
          <w:b/>
        </w:rPr>
        <w:t>📉 Bear Case:</w:t>
      </w:r>
    </w:p>
    <w:p>
      <w:pPr>
        <w:ind w:left="360"/>
      </w:pPr>
      <w:r>
        <w:t>Operating cash flow has been negative throughout the scale-up (FY24 -Rs 21 Cr; FCF -Rs 23 to -Rs 43 Cr); cash-conversion cycle ~230 days - growth is funded by debt and equity, not accruals</w:t>
      </w:r>
    </w:p>
    <w:p>
      <w:pPr>
        <w:ind w:left="360"/>
      </w:pPr>
      <w:r>
        <w:t>Leveraged and rising: borrowings ~Rs 128 Cr, bank facilities enhanced to Rs 175 Cr, net debt/EBITDA ~2.6x, CRISIL BBB - a fragile balance sheet for a micro/small-cap</w:t>
      </w:r>
    </w:p>
    <w:p>
      <w:pPr>
        <w:ind w:left="360"/>
      </w:pPr>
      <w:r>
        <w:t>FY26 OPM (~15%) missed management's own 18% guide; margin has compressed from ~17% (FY24); management frames forward numbers as 'ambition, not guidance' (per gaurav, trusted)</w:t>
      </w:r>
    </w:p>
    <w:p>
      <w:pPr>
        <w:ind w:left="360"/>
      </w:pPr>
      <w:r>
        <w:t>~Rs 45.6 Cr preferential warrant issue is dilutive; zero dividend despite consistent profit</w:t>
      </w:r>
    </w:p>
    <w:p>
      <w:pPr>
        <w:ind w:left="360"/>
      </w:pPr>
      <w:r>
        <w:t>Spain acquisition adds cross-border integration, FX and new-geography execution risk; consolidated revenue jump (+147%) is largely inorganic and per-share accretion is unproven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2026-09-09T14:08:25.740Z</dcterms:created>
  <dcterms:modified xsi:type="dcterms:W3CDTF">2026-09-09T14:08:25.744Z</dcterms:modified>
</cp:coreProperties>
</file>

<file path=docProps/custom.xml><?xml version="1.0" encoding="utf-8"?>
<Properties xmlns="http://schemas.openxmlformats.org/officeDocument/2006/custom-properties" xmlns:vt="http://schemas.openxmlformats.org/officeDocument/2006/docPropsVTypes"/>
</file>