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Harshdeep Hortico Ltd</w:t>
      </w:r>
    </w:p>
    <w:p>
      <w:pPr>
        <w:pBdr>
          <w:bottom w:val="single" w:color="CCCCCC" w:sz="6" w:space="8"/>
        </w:pBdr>
        <w:spacing w:after="200"/>
      </w:pPr>
      <w:r>
        <w:rPr>
          <w:i/>
          <w:iCs/>
          <w:color w:val="666666"/>
          <w:sz w:val="22"/>
          <w:szCs w:val="22"/>
        </w:rPr>
        <w:t xml:space="preserve">Rs ~130 Cr BSE-SME micro-cap in premium pots, planters and garden decor - FY26 revenue +22% to Rs 69 Cr, PAT +29%, ROE ~23%, EBITDA margin ~29%, and cheap at ~10x earnings; the persistent constraint is cash conversion - FY26 operating cash flow was negative even before capex as working capital and inventory absorbed cash</w:t>
      </w:r>
    </w:p>
    <w:p>
      <w:pPr>
        <w:pStyle w:val="Heading1"/>
        <w:spacing w:after="120" w:before="280"/>
      </w:pPr>
      <w:r>
        <w:t xml:space="preserve">Business Overview</w:t>
      </w:r>
    </w:p>
    <w:p>
      <w:pPr>
        <w:spacing w:after="120"/>
      </w:pPr>
      <w:r>
        <w:t xml:space="preserve">Harshdeep Hortico (BSE-SME listed Feb 2024) manufactures and markets premium pots and planters, decorative planters, garden accessories, shade nets and outdoor furniture, plus newer verticals 'Agri Shield' (technical agro shade nets), 'Muebles' (furniture) and India's first rotomoulded decorative water fountains (launched Apr 2026). It sells to nurseries, garden centres, landscapers, architects and institutional buyers - airports (Mumbai, Mangalore), hotels, builders and infrastructure projects - where execution and reliability matter more than price.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130 Cr (BSE SME); ~10x FY26 P/E, ~6.5x EV/EBITDA, ~2.2x P/B</w:t>
            </w:r>
          </w:p>
        </w:tc>
      </w:tr>
      <w:tr>
        <w:tc>
          <w:tcPr>
            <w:tcW w:type="dxa" w:w="3200"/>
            <w:shd w:fill="F2F2F2" w:val="clear"/>
          </w:tcPr>
          <w:p>
            <w:r>
              <w:rPr>
                <w:b/>
                <w:bCs/>
              </w:rPr>
              <w:t xml:space="preserve">ROE (3-yr) / ROIC</w:t>
            </w:r>
          </w:p>
        </w:tc>
        <w:tc>
          <w:tcPr>
            <w:tcW w:type="dxa" w:w="5800"/>
          </w:tcPr>
          <w:p>
            <w:r>
              <w:t xml:space="preserve">~25% 3-yr / FY26 ROE 23.3%, ROCE ~24%</w:t>
            </w:r>
          </w:p>
        </w:tc>
      </w:tr>
      <w:tr>
        <w:tc>
          <w:tcPr>
            <w:tcW w:type="dxa" w:w="3200"/>
            <w:shd w:fill="F2F2F2" w:val="clear"/>
          </w:tcPr>
          <w:p>
            <w:r>
              <w:rPr>
                <w:b/>
                <w:bCs/>
              </w:rPr>
              <w:t xml:space="preserve">Revenue / PAT</w:t>
            </w:r>
          </w:p>
        </w:tc>
        <w:tc>
          <w:tcPr>
            <w:tcW w:type="dxa" w:w="5800"/>
          </w:tcPr>
          <w:p>
            <w:r>
              <w:t xml:space="preserve">FY26 revenue Rs 68.7 Cr (+22% YoY), PAT Rs 12.5 Cr (+29%), PBT Rs 16.0 Cr (+41%), EBITDA Rs 19.8 Cr (~29% margin, +32%); H1 FY26 PAT +35%, H2 FY26 decelerated to revenue +15% / PAT +25%</w:t>
            </w:r>
          </w:p>
        </w:tc>
      </w:tr>
      <w:tr>
        <w:tc>
          <w:tcPr>
            <w:tcW w:type="dxa" w:w="3200"/>
            <w:shd w:fill="F2F2F2" w:val="clear"/>
          </w:tcPr>
          <w:p>
            <w:r>
              <w:rPr>
                <w:b/>
                <w:bCs/>
              </w:rPr>
              <w:t xml:space="preserve">Revenue growth</w:t>
            </w:r>
          </w:p>
        </w:tc>
        <w:tc>
          <w:tcPr>
            <w:tcW w:type="dxa" w:w="5800"/>
          </w:tcPr>
          <w:p>
            <w:r>
              <w:t xml:space="preserve">3-yr revenue CAGR ~25%; FY26 +22%</w:t>
            </w:r>
          </w:p>
        </w:tc>
      </w:tr>
      <w:tr>
        <w:tc>
          <w:tcPr>
            <w:tcW w:type="dxa" w:w="3200"/>
            <w:shd w:fill="F2F2F2" w:val="clear"/>
          </w:tcPr>
          <w:p>
            <w:r>
              <w:rPr>
                <w:b/>
                <w:bCs/>
              </w:rPr>
              <w:t xml:space="preserve">Debt</w:t>
            </w:r>
          </w:p>
        </w:tc>
        <w:tc>
          <w:tcPr>
            <w:tcW w:type="dxa" w:w="5800"/>
          </w:tcPr>
          <w:p>
            <w:r>
              <w:t xml:space="preserve">Near debt-free but FY26 added ~Rs 3.8 Cr secured loans; FY26 operating cash flow NEGATIVE Rs 8.4 Cr (working-capital + inventory build) BEFORE capex of Rs 8.5 Cr - deeply negative FCF</w:t>
            </w:r>
          </w:p>
        </w:tc>
      </w:tr>
      <w:tr>
        <w:tc>
          <w:tcPr>
            <w:tcW w:type="dxa" w:w="3200"/>
            <w:shd w:fill="F2F2F2" w:val="clear"/>
          </w:tcPr>
          <w:p>
            <w:r>
              <w:rPr>
                <w:b/>
                <w:bCs/>
              </w:rPr>
              <w:t xml:space="preserve">Other</w:t>
            </w:r>
          </w:p>
        </w:tc>
        <w:tc>
          <w:tcPr>
            <w:tcW w:type="dxa" w:w="5800"/>
          </w:tcPr>
          <w:p>
            <w:r>
              <w:t xml:space="preserve">Second dividend (Rs 0.25/sh FY26) while expanding; net worth Rs 59.9 Cr (+44%); new lines - shade nets 3.5 lakh kg/yr, Agri Shield +200 t, total moulding capacity 1,440 t/yr, rotomoulded fountains, Muebles furniture; promoter family retains a large stake</w:t>
            </w:r>
          </w:p>
        </w:tc>
      </w:tr>
    </w:tbl>
    <w:p>
      <w:pPr>
        <w:spacing w:after="100"/>
      </w:pPr>
    </w:p>
    <w:p>
      <w:pPr>
        <w:spacing w:after="120"/>
      </w:pPr>
      <w:r>
        <w:t xml:space="preserve">For a micro-cap the return profile is strong - FY26 ROE 23.3%, ROCE ~24%, EBITDA margin ~29% - and growth is real and broad-based (FY26 revenue +22%, PAT +29%), driven by new categories (outdoor furniture, shade nets, Agri Shield, rotomoulded fountains), exports and distribution expansion. Two things the FY26 filing sharpened: (1) growth decelerated through the year - H1 revenue was up ~31-35% but H2 only +15% - and (2) cash conversion is not just a capex story: FY26 operating cash flow itself was negative Rs 8.4 Cr as inventory and working capital absorbed cash, and the company drew ~Rs 3.8 Cr of new secured loans to fund the shortfall plus Rs 8.5 Cr of capacity capex. The claimed moat is a combination rather than a single dominant one - 500+ designs and 2,200+ SKUs on a mould library built over years, a nationwide dealer/nursery/landscaper network, and institutional relationships (Mumbai and Mangalore airports) that take time to earn - but the underlying moulded-plastic products have low manufacturing barriers, so the ~29% EBITDA margin carries some normalisation risk. Offsetting all of this, the stock trades at ~10x FY26 earnings and ~6.5x EV/EBITDA, which prices in almost no growth.</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2026-09-07.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filing (year ended Mar 2026) - P&amp;L, EBITDA/net worth, cash flow statement (CFO -Rs 8.40 Cr, capex -Rs 8.51 Cr, financing +Rs 3.59 Cr on secured loans +Rs 3.85 Cr); FY25 comparatives (revenue Rs 56.3 Cr)</w:t>
      </w:r>
    </w:p>
    <w:p>
      <w:pPr>
        <w:pStyle w:val="ListParagraph"/>
        <w:numPr>
          <w:ilvl w:val="0"/>
          <w:numId w:val="1"/>
        </w:numPr>
        <w:spacing w:after="60"/>
      </w:pPr>
      <w:r>
        <w:t xml:space="preserve">H1 FY26 and H2 FY26 results releases + 21 May 2026 earnings call summary</w:t>
      </w:r>
    </w:p>
    <w:p>
      <w:pPr>
        <w:pStyle w:val="ListParagraph"/>
        <w:numPr>
          <w:ilvl w:val="0"/>
          <w:numId w:val="1"/>
        </w:numPr>
        <w:spacing w:after="60"/>
      </w:pPr>
      <w:r>
        <w:t xml:space="preserve">BSE/press announcements Apr-Sep 2026 - rotomoulded fountains launch (19 Apr), capacity-expansion notices (shade-net line 3.5 lakh kg/yr, Agri Shield +200 t, total moulding 1,440 t/yr), Rs 0.25/sh dividend</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68.7 Cr (+22% YoY from Rs 56.3 Cr), PAT Rs 12.5 Cr (+29%), PBT Rs 16.0 Cr (+41%), EBITDA Rs 19.8 Cr (+32%, ~29% margin), net worth Rs 59.9 Cr (+44%), ROE 23.3%</w:t>
      </w:r>
    </w:p>
    <w:p>
      <w:pPr>
        <w:pStyle w:val="ListParagraph"/>
        <w:numPr>
          <w:ilvl w:val="0"/>
          <w:numId w:val="1"/>
        </w:numPr>
        <w:spacing w:after="60"/>
      </w:pPr>
      <w:r>
        <w:t xml:space="preserve">Cash flow is the key finding: FY26 operating cash flow was NEGATIVE Rs 8.4 Cr - i.e. negative before capex, not just because of it - driven by inventory and working-capital build; capex was a further Rs 8.5 Cr (new rotational + injection moulding machines)</w:t>
      </w:r>
    </w:p>
    <w:p>
      <w:pPr>
        <w:pStyle w:val="ListParagraph"/>
        <w:numPr>
          <w:ilvl w:val="0"/>
          <w:numId w:val="1"/>
        </w:numPr>
        <w:spacing w:after="60"/>
      </w:pPr>
      <w:r>
        <w:t xml:space="preserve">Company drew ~Rs 3.8 Cr of new secured loans in FY26 to fund the cash shortfall; still low absolute debt but no longer strictly self-funding growth</w:t>
      </w:r>
    </w:p>
    <w:p>
      <w:pPr>
        <w:pStyle w:val="ListParagraph"/>
        <w:numPr>
          <w:ilvl w:val="0"/>
          <w:numId w:val="1"/>
        </w:numPr>
        <w:spacing w:after="60"/>
      </w:pPr>
      <w:r>
        <w:t xml:space="preserve">Capacity materially expanded: total moulding capacity to 1,440 tonnes/yr, a dedicated shade-net line of 3.5 lakh kg/yr, Agri Shield +200 t, +12,000 sq ft floor space</w:t>
      </w:r>
    </w:p>
    <w:p>
      <w:pPr>
        <w:pStyle w:val="ListParagraph"/>
        <w:numPr>
          <w:ilvl w:val="0"/>
          <w:numId w:val="1"/>
        </w:numPr>
        <w:spacing w:after="60"/>
      </w:pPr>
      <w:r>
        <w:t xml:space="preserve">Second consecutive dividend (Rs 0.25/sh) declared while still in expansion - small capital-discipline signal</w:t>
      </w:r>
    </w:p>
    <w:p>
      <w:pPr>
        <w:pStyle w:val="ListParagraph"/>
        <w:numPr>
          <w:ilvl w:val="0"/>
          <w:numId w:val="1"/>
        </w:numPr>
        <w:spacing w:after="60"/>
      </w:pPr>
      <w:r>
        <w:t xml:space="preserve">Disclosure is thin (BSE-SME): no readily available detail on related-party transactions, promoter pledge, auditor remarks or contingent liabilities</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H1 FY26: PAT Rs 5.70 Cr (+35% YoY); revenue ~Rs 32-33 Cr from operations</w:t>
      </w:r>
    </w:p>
    <w:p>
      <w:pPr>
        <w:pStyle w:val="ListParagraph"/>
        <w:numPr>
          <w:ilvl w:val="0"/>
          <w:numId w:val="1"/>
        </w:numPr>
        <w:spacing w:after="60"/>
      </w:pPr>
      <w:r>
        <w:t xml:space="preserve">H2 FY26: revenue Rs 36.1 Cr vs Rs 31.5 Cr (+15% YoY); PAT Rs 6.82 Cr vs Rs 5.47 Cr (+25% YoY)</w:t>
      </w:r>
    </w:p>
    <w:p>
      <w:pPr>
        <w:pStyle w:val="ListParagraph"/>
        <w:numPr>
          <w:ilvl w:val="0"/>
          <w:numId w:val="1"/>
        </w:numPr>
        <w:spacing w:after="60"/>
      </w:pPr>
      <w:r>
        <w:t xml:space="preserve">Growth clearly decelerated through the year - the second half ran at roughly half H1's revenue growth rate</w:t>
      </w:r>
    </w:p>
    <w:p>
      <w:pPr>
        <w:pStyle w:val="ListParagraph"/>
        <w:numPr>
          <w:ilvl w:val="0"/>
          <w:numId w:val="1"/>
        </w:numPr>
        <w:spacing w:after="60"/>
      </w:pPr>
      <w:r>
        <w:t xml:space="preserve">Concall tone (May 2026): management upbeat on new categories (fountains, shade nets, furniture) and airport/institutional contracts; did not give explicit quantified FY27 revenue/margin guidance in what was sourced</w:t>
      </w:r>
    </w:p>
    <w:p>
      <w:pPr>
        <w:spacing w:after="120"/>
      </w:pPr>
      <w:r>
        <w:rPr>
          <w:b/>
          <w:bCs/>
          <w:sz w:val="20"/>
          <w:szCs w:val="20"/>
        </w:rPr>
        <w:t xml:space="preserve">Exchange announcements (last 6 months):</w:t>
      </w:r>
    </w:p>
    <w:p>
      <w:pPr>
        <w:pStyle w:val="ListParagraph"/>
        <w:numPr>
          <w:ilvl w:val="0"/>
          <w:numId w:val="1"/>
        </w:numPr>
        <w:spacing w:after="60"/>
      </w:pPr>
      <w:r>
        <w:t xml:space="preserve">19 Apr 2026 - launched India's first rotomoulded decorative water fountains (new category)</w:t>
      </w:r>
    </w:p>
    <w:p>
      <w:pPr>
        <w:pStyle w:val="ListParagraph"/>
        <w:numPr>
          <w:ilvl w:val="0"/>
          <w:numId w:val="1"/>
        </w:numPr>
        <w:spacing w:after="60"/>
      </w:pPr>
      <w:r>
        <w:t xml:space="preserve">FY26 - capacity-expansion announcements: shade-net line 3.5 lakh kg/yr, Agri Shield automated line +200 t, total moulding 1,440 t/yr</w:t>
      </w:r>
    </w:p>
    <w:p>
      <w:pPr>
        <w:pStyle w:val="ListParagraph"/>
        <w:numPr>
          <w:ilvl w:val="0"/>
          <w:numId w:val="1"/>
        </w:numPr>
        <w:spacing w:after="60"/>
      </w:pPr>
      <w:r>
        <w:t xml:space="preserve">May 2026 - Rs 0.25/sh dividend for FY26; 21 May 2026 earnings call</w:t>
      </w:r>
    </w:p>
    <w:p>
      <w:pPr>
        <w:pStyle w:val="ListParagraph"/>
        <w:numPr>
          <w:ilvl w:val="0"/>
          <w:numId w:val="1"/>
        </w:numPr>
        <w:spacing w:after="60"/>
      </w:pPr>
      <w:r>
        <w:t xml:space="preserve">Institutional contracts referenced: Mumbai and Mangalore airports</w:t>
      </w:r>
    </w:p>
    <w:p>
      <w:pPr>
        <w:pStyle w:val="ListParagraph"/>
        <w:numPr>
          <w:ilvl w:val="0"/>
          <w:numId w:val="1"/>
        </w:numPr>
        <w:spacing w:after="60"/>
      </w:pPr>
      <w:r>
        <w:t xml:space="preserve">No SEBI action, no auditor change, no pledge or M&amp;A activity found</w:t>
      </w:r>
    </w:p>
    <w:p>
      <w:pPr>
        <w:spacing w:after="120"/>
      </w:pPr>
      <w:r>
        <w:rPr>
          <w:b/>
          <w:bCs/>
          <w:sz w:val="20"/>
          <w:szCs w:val="20"/>
        </w:rPr>
        <w:t xml:space="preserve">Key new facts vs. the prior write-up:</w:t>
      </w:r>
    </w:p>
    <w:p>
      <w:pPr>
        <w:pStyle w:val="ListParagraph"/>
        <w:numPr>
          <w:ilvl w:val="0"/>
          <w:numId w:val="1"/>
        </w:numPr>
        <w:spacing w:after="60"/>
      </w:pPr>
      <w:r>
        <w:t xml:space="preserve">FY26 operating cash flow was negative Rs 8.4 Cr BEFORE capex - the cash-conversion issue is structural/working-capital, not merely a capex artefact</w:t>
      </w:r>
    </w:p>
    <w:p>
      <w:pPr>
        <w:pStyle w:val="ListParagraph"/>
        <w:numPr>
          <w:ilvl w:val="0"/>
          <w:numId w:val="1"/>
        </w:numPr>
        <w:spacing w:after="60"/>
      </w:pPr>
      <w:r>
        <w:t xml:space="preserve">New secured debt (~Rs 3.8 Cr) drawn in FY26 - growth is no longer fully self-funded</w:t>
      </w:r>
    </w:p>
    <w:p>
      <w:pPr>
        <w:pStyle w:val="ListParagraph"/>
        <w:numPr>
          <w:ilvl w:val="0"/>
          <w:numId w:val="1"/>
        </w:numPr>
        <w:spacing w:after="60"/>
      </w:pPr>
      <w:r>
        <w:t xml:space="preserve">H2 FY26 revenue growth decelerated to +15% from H1's ~+31-35%</w:t>
      </w:r>
    </w:p>
    <w:p>
      <w:pPr>
        <w:pStyle w:val="ListParagraph"/>
        <w:numPr>
          <w:ilvl w:val="0"/>
          <w:numId w:val="1"/>
        </w:numPr>
        <w:spacing w:after="60"/>
      </w:pPr>
      <w:r>
        <w:t xml:space="preserve">Valuation is genuinely low - ~10x FY26 P/E, ~6.5x EV/EBITDA, ~2.2x P/B - prices in near-zero growth</w:t>
      </w:r>
    </w:p>
    <w:p>
      <w:pPr>
        <w:pStyle w:val="ListParagraph"/>
        <w:numPr>
          <w:ilvl w:val="0"/>
          <w:numId w:val="1"/>
        </w:numPr>
        <w:spacing w:after="60"/>
      </w:pPr>
      <w:r>
        <w:t xml:space="preserve">EBITDA margin ~29% is high for moulded-plastic products and expanded further in FY26 (mix + operating leverage)</w:t>
      </w:r>
    </w:p>
    <w:p>
      <w:pPr>
        <w:spacing w:after="120"/>
      </w:pPr>
      <w:r>
        <w:rPr>
          <w:b/>
          <w:bCs/>
          <w:sz w:val="20"/>
          <w:szCs w:val="20"/>
        </w:rPr>
        <w:t xml:space="preserve">Open questions / what to watch:</w:t>
      </w:r>
    </w:p>
    <w:p>
      <w:pPr>
        <w:pStyle w:val="ListParagraph"/>
        <w:numPr>
          <w:ilvl w:val="0"/>
          <w:numId w:val="1"/>
        </w:numPr>
        <w:spacing w:after="60"/>
      </w:pPr>
      <w:r>
        <w:t xml:space="preserve">Does H1 FY27 (Nov 2026) show operating cash flow turning positive, or does the working-capital drag persist as new lines ramp?</w:t>
      </w:r>
    </w:p>
    <w:p>
      <w:pPr>
        <w:pStyle w:val="ListParagraph"/>
        <w:numPr>
          <w:ilvl w:val="0"/>
          <w:numId w:val="1"/>
        </w:numPr>
        <w:spacing w:after="60"/>
      </w:pPr>
      <w:r>
        <w:t xml:space="preserve">Is the H2 FY26 deceleration to +15% a blip or a new run-rate?</w:t>
      </w:r>
    </w:p>
    <w:p>
      <w:pPr>
        <w:pStyle w:val="ListParagraph"/>
        <w:numPr>
          <w:ilvl w:val="0"/>
          <w:numId w:val="1"/>
        </w:numPr>
        <w:spacing w:after="60"/>
      </w:pPr>
      <w:r>
        <w:t xml:space="preserve">Is the ~29% EBITDA margin defensible given low manufacturing barriers, or does it normalise toward the low-20s?</w:t>
      </w:r>
    </w:p>
    <w:p>
      <w:pPr>
        <w:pStyle w:val="ListParagraph"/>
        <w:numPr>
          <w:ilvl w:val="0"/>
          <w:numId w:val="1"/>
        </w:numPr>
        <w:spacing w:after="60"/>
      </w:pPr>
      <w:r>
        <w:t xml:space="preserve">RPT / promoter-pledge / contingent-liability detail is not visible in SME disclosure - unquantified governance risk</w:t>
      </w:r>
    </w:p>
    <w:p>
      <w:pPr>
        <w:spacing w:after="120" w:before="120"/>
      </w:pPr>
      <w:r>
        <w:rPr>
          <w:b/>
          <w:bCs/>
          <w:sz w:val="20"/>
          <w:szCs w:val="20"/>
        </w:rPr>
        <w:t xml:space="preserve">Conviction impact: </w:t>
      </w:r>
      <w:r>
        <w:rPr>
          <w:sz w:val="20"/>
          <w:szCs w:val="20"/>
        </w:rPr>
        <w:t xml:space="preserve">Medium -&gt; Medium. FY26 filings confirm the growth (revenue +22%, PAT +29%, ROE 23%, EBITDA margin ~29%) and a cheap ~10x multiple, but also that operating cash flow was negative Rs 8.4 Cr BEFORE capex and that H2 growth decelerated to +15% - so the cash-conversion concern is now evidenced rather than hypothetical, and the cheap valuation plus real growth are offset by it. Conviction holds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New categories - rotomoulded decorative fountains, Muebles furniture, Agri Shield</w:t>
            </w:r>
          </w:p>
        </w:tc>
        <w:tc>
          <w:tcPr>
            <w:tcW w:type="dxa" w:w="2400"/>
          </w:tcPr>
          <w:p>
            <w:r>
              <w:rPr>
                <w:b w:val="false"/>
                <w:bCs w:val="false"/>
                <w:sz w:val="18"/>
                <w:szCs w:val="18"/>
              </w:rPr>
              <w:t xml:space="preserve">fountains launched 19 Apr 2026 (India-first); furniture and shade nets scaling</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Dedicated shade-net line and Agri Shield automated capacity now installed</w:t>
            </w:r>
          </w:p>
        </w:tc>
        <w:tc>
          <w:tcPr>
            <w:tcW w:type="dxa" w:w="2400"/>
          </w:tcPr>
          <w:p>
            <w:r>
              <w:rPr>
                <w:b w:val="false"/>
                <w:bCs w:val="false"/>
                <w:sz w:val="18"/>
                <w:szCs w:val="18"/>
              </w:rPr>
              <w:t xml:space="preserve">shade nets 3.5 lakh kg/yr; Agri Shield +200 tonnes; total moulding capacity 1,440 t/yr</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Sustain ~20%+ revenue growth after the H2 FY26 slowdown</w:t>
            </w:r>
          </w:p>
        </w:tc>
        <w:tc>
          <w:tcPr>
            <w:tcW w:type="dxa" w:w="2400"/>
          </w:tcPr>
          <w:p>
            <w:r>
              <w:rPr>
                <w:b w:val="false"/>
                <w:bCs w:val="false"/>
                <w:sz w:val="18"/>
                <w:szCs w:val="18"/>
              </w:rPr>
              <w:t xml:space="preserve">no explicit quantified FY27 guidance sourced; H2 FY26 ran at +15%</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Turn operating cash flow positive as the working-capital build normalises</w:t>
            </w:r>
          </w:p>
        </w:tc>
        <w:tc>
          <w:tcPr>
            <w:tcW w:type="dxa" w:w="2400"/>
          </w:tcPr>
          <w:p>
            <w:r>
              <w:rPr>
                <w:b w:val="false"/>
                <w:bCs w:val="false"/>
                <w:sz w:val="18"/>
                <w:szCs w:val="18"/>
              </w:rPr>
              <w:t xml:space="preserve">FY26 CFO was -Rs 8.4 Cr before capex; ~Rs 3.8 Cr new secured loans drawn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bl>
    <w:p>
      <w:pPr>
        <w:spacing w:after="60" w:before="120"/>
      </w:pPr>
      <w:r>
        <w:rPr>
          <w:b/>
          <w:bCs/>
          <w:sz w:val="20"/>
          <w:szCs w:val="20"/>
        </w:rPr>
        <w:t xml:space="preserve">Earnings chain: </w:t>
      </w:r>
      <w:r>
        <w:rPr>
          <w:b w:val="false"/>
          <w:bCs w:val="false"/>
          <w:sz w:val="20"/>
          <w:szCs w:val="20"/>
        </w:rPr>
        <w:t xml:space="preserve">new categories (fountains, furniture, shade nets) + distribution expansion</w:t>
      </w:r>
      <w:r>
        <w:rPr>
          <w:color w:val="666666"/>
          <w:sz w:val="20"/>
          <w:szCs w:val="20"/>
        </w:rPr>
        <w:t xml:space="preserve"> → </w:t>
      </w:r>
      <w:r>
        <w:rPr>
          <w:b w:val="false"/>
          <w:bCs w:val="false"/>
          <w:sz w:val="20"/>
          <w:szCs w:val="20"/>
        </w:rPr>
        <w:t xml:space="preserve">capacity additions (1,440 t/yr moulding, shade-net line)</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operating leverage (EBITDA margin ~29%)</w:t>
      </w:r>
      <w:r>
        <w:rPr>
          <w:color w:val="666666"/>
          <w:sz w:val="20"/>
          <w:szCs w:val="20"/>
        </w:rPr>
        <w:t xml:space="preserve"> → </w:t>
      </w:r>
      <w:r>
        <w:rPr>
          <w:b w:val="false"/>
          <w:bCs w:val="false"/>
          <w:sz w:val="20"/>
          <w:szCs w:val="20"/>
        </w:rPr>
        <w:t xml:space="preserve">PAT</w:t>
      </w:r>
      <w:r>
        <w:rPr>
          <w:color w:val="666666"/>
          <w:sz w:val="20"/>
          <w:szCs w:val="20"/>
        </w:rPr>
        <w:t xml:space="preserve"> → </w:t>
      </w:r>
      <w:r>
        <w:rPr>
          <w:b w:val="false"/>
          <w:bCs w:val="false"/>
          <w:sz w:val="20"/>
          <w:szCs w:val="20"/>
        </w:rPr>
        <w:t xml:space="preserve">operating cash flow / FCF (currently negative - working-capital blocked)</w:t>
      </w:r>
    </w:p>
    <w:p>
      <w:pPr>
        <w:spacing w:after="120"/>
      </w:pPr>
      <w:r>
        <w:rPr>
          <w:color w:val="666666"/>
          <w:sz w:val="18"/>
          <w:szCs w:val="18"/>
        </w:rPr>
        <w:t xml:space="preserve">Bottleneck link: operating cash flow / FCF - working capital and inventory are absorbing the profit.</w:t>
      </w:r>
    </w:p>
    <w:p>
      <w:pPr>
        <w:spacing w:after="120"/>
      </w:pPr>
      <w:r>
        <w:rPr>
          <w:color w:val="666666"/>
          <w:sz w:val="18"/>
          <w:szCs w:val="18"/>
        </w:rPr>
        <w:t xml:space="preserve">Operating leverage: yes - FY26 EBITDA grew 32% on 22% revenue growth, margin expanded to ~29%</w:t>
      </w:r>
    </w:p>
    <w:p>
      <w:pPr>
        <w:spacing w:after="120"/>
      </w:pPr>
      <w:r>
        <w:rPr>
          <w:color w:val="666666"/>
          <w:sz w:val="18"/>
          <w:szCs w:val="18"/>
        </w:rPr>
        <w:t xml:space="preserve">Evidenced: new categories + distribution expansion; capacity additions (1,440 t/yr moulding, shade-net line); revenue growth; operating leverage (EBITDA margin ~29%); PAT. Still assumed: operating cash flow / FCF turning positive.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2026-09-07</w:t>
            </w:r>
          </w:p>
        </w:tc>
      </w:tr>
      <w:tr>
        <w:tc>
          <w:tcPr>
            <w:tcW w:type="dxa" w:w="3200"/>
            <w:shd w:fill="F2F2F2" w:val="clear"/>
          </w:tcPr>
          <w:p>
            <w:r>
              <w:rPr>
                <w:b/>
                <w:bCs/>
              </w:rPr>
              <w:t xml:space="preserve">Price / multiple</w:t>
            </w:r>
          </w:p>
        </w:tc>
        <w:tc>
          <w:tcPr>
            <w:tcW w:type="dxa" w:w="5800"/>
          </w:tcPr>
          <w:p>
            <w:r>
              <w:t xml:space="preserve">10.4x P/E · 6.5x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~10x trailing EPS the market is pricing in near-zero EPS growth / heavily discounting SME liquidity plus the negative operating cash flow; even a conservative 15x exit multiple only requires low-single-digit EPS CAGR FY26-28 for today's price to be fair</w:t>
            </w:r>
          </w:p>
        </w:tc>
      </w:tr>
      <w:tr>
        <w:tc>
          <w:tcPr>
            <w:tcW w:type="dxa" w:w="3200"/>
            <w:shd w:fill="F2F2F2" w:val="clear"/>
          </w:tcPr>
          <w:p>
            <w:r>
              <w:rPr>
                <w:b/>
                <w:bCs/>
              </w:rPr>
              <w:t xml:space="preserve">Our FY27</w:t>
            </w:r>
          </w:p>
        </w:tc>
        <w:tc>
          <w:tcPr>
            <w:tcW w:type="dxa" w:w="5800"/>
          </w:tcPr>
          <w:p>
            <w:r>
              <w:t xml:space="preserve">revenue ~Rs 82-86 Cr (+20-25%), EBITDA margin ~27-29%, PAT ~Rs 15-16 Cr - assuming new lines ramp and no margin normalisation</w:t>
            </w:r>
          </w:p>
        </w:tc>
      </w:tr>
      <w:tr>
        <w:tc>
          <w:tcPr>
            <w:tcW w:type="dxa" w:w="3200"/>
            <w:shd w:fill="F2F2F2" w:val="clear"/>
          </w:tcPr>
          <w:p>
            <w:r>
              <w:rPr>
                <w:b/>
                <w:bCs/>
              </w:rPr>
              <w:t xml:space="preserve">Our FY28</w:t>
            </w:r>
          </w:p>
        </w:tc>
        <w:tc>
          <w:tcPr>
            <w:tcW w:type="dxa" w:w="5800"/>
          </w:tcPr>
          <w:p>
            <w:r>
              <w:t xml:space="preserve">revenue ~Rs 100-105 Cr, PAT ~Rs 19-21 Cr if the value-add mix holds; materially lower if the ~29% EBITDA margin reverts toward the low-20s</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55% (our FY28 PAT vs implied)</w:t>
            </w:r>
          </w:p>
        </w:tc>
      </w:tr>
      <w:tr>
        <w:tc>
          <w:tcPr>
            <w:tcW w:type="dxa" w:w="3200"/>
            <w:shd w:fill="F2F2F2" w:val="clear"/>
          </w:tcPr>
          <w:p>
            <w:r>
              <w:rPr>
                <w:b/>
                <w:bCs/>
              </w:rPr>
              <w:t xml:space="preserve">Gap basis</w:t>
            </w:r>
          </w:p>
        </w:tc>
        <w:tc>
          <w:tcPr>
            <w:tcW w:type="dxa" w:w="5800"/>
          </w:tcPr>
          <w:p>
            <w:r>
              <w:t xml:space="preserve">10x trailing prices in almost no growth; our path has ~20% revenue CAGR with a broadly stable high-20s EBITDA margin, implying FY28 PAT ~50-60% above what the current multiple embeds - but persistent negative operating cash flow, H2 FY26 deceleration and SME liquidity justify a meaningful part of the discount</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H1 FY27 print (~Nov 2026) showing operating cash flow turning positive and revenue growth holding at 20%+ after the H2 FY26 slowdown</w:t>
      </w:r>
      <w:r>
        <w:rPr>
          <w:color w:val="666666"/>
          <w:sz w:val="18"/>
          <w:szCs w:val="18"/>
        </w:rPr>
        <w:t xml:space="preserve"> (window ~3M from 2026-09-07;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organised / branded urban gardening, landscaping and garden-decor products</w:t>
            </w:r>
          </w:p>
        </w:tc>
      </w:tr>
      <w:tr>
        <w:tc>
          <w:tcPr>
            <w:tcW w:type="dxa" w:w="3200"/>
            <w:shd w:fill="F2F2F2" w:val="clear"/>
          </w:tcPr>
          <w:p>
            <w:r>
              <w:rPr>
                <w:b/>
                <w:bCs/>
              </w:rPr>
              <w:t xml:space="preserve">This company's position</w:t>
            </w:r>
          </w:p>
        </w:tc>
        <w:tc>
          <w:tcPr>
            <w:tcW w:type="dxa" w:w="5800"/>
          </w:tcPr>
          <w:p>
            <w:r>
              <w:t xml:space="preserve">branded rotomoulded and injection-moulded planter and garden-decor maker selling to nurseries, landscapers, architects and institutions (airports, hotels, builders)</w:t>
            </w:r>
          </w:p>
        </w:tc>
      </w:tr>
      <w:tr>
        <w:tc>
          <w:tcPr>
            <w:tcW w:type="dxa" w:w="3200"/>
            <w:shd w:fill="F2F2F2" w:val="clear"/>
          </w:tcPr>
          <w:p>
            <w:r>
              <w:rPr>
                <w:b/>
                <w:bCs/>
              </w:rPr>
              <w:t xml:space="preserve">Bottleneck node (pricing power)</w:t>
            </w:r>
          </w:p>
        </w:tc>
        <w:tc>
          <w:tcPr>
            <w:tcW w:type="dxa" w:w="5800"/>
          </w:tcPr>
          <w:p>
            <w:r>
              <w:t xml:space="preserve">working capital tied up in institutional project inventory and receivables</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unorganised regional rotomoulders / planter makers, Supreme Industries (plastic moulded products, far broader), Nilkamal (moulded furniture and material handling), Wonderland / regional garden-decor brands</w:t>
            </w:r>
          </w:p>
        </w:tc>
      </w:tr>
    </w:tbl>
    <w:p>
      <w:pPr>
        <w:spacing w:after="120"/>
      </w:pPr>
      <w:r>
        <w:rPr>
          <w:color w:val="666666"/>
          <w:sz w:val="18"/>
          <w:szCs w:val="18"/>
        </w:rPr>
        <w:t xml:space="preserve">Large fragmented unorganised base with low manufacturing barriers; Harshdeep's edge is a 500-design / 2,200-SKU mould library, national distribution and slow-to-earn institutional relationships - a combination moat, not a structural cost or technology edge, so pricing power is limited.</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premium product mix and higher-value new categories (furniture, fountains, technical shade nets); operating leverage on capacity additions (FY26 EBITDA +32% on revenue +22%).</w:t>
      </w:r>
    </w:p>
    <w:p>
      <w:pPr>
        <w:spacing w:after="120"/>
      </w:pPr>
      <w:r>
        <w:rPr>
          <w:color w:val="666666"/>
          <w:sz w:val="18"/>
          <w:szCs w:val="18"/>
        </w:rPr>
        <w:t xml:space="preserve">FY26 EBITDA margin ~29% is high for moulded-plastic products and expanded further during the year. Part is structural (premium mix, operating leverage) but a level that could normalise toward the low-20s if competition intensifies or polymer input costs rise; treat current margin as above through-cycle.</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H1 FY26 revenue ~+31-35% YoY and PAT +35%; H2 FY26 revenue +15% and PAT +25%; FY26 full-year revenue +22%, PAT +29% - a clear step-down from the ~25%+ multi-year CAGR through the second half</w:t>
      </w:r>
    </w:p>
    <w:p>
      <w:pPr>
        <w:spacing w:after="120"/>
      </w:pPr>
      <w:r>
        <w:rPr>
          <w:color w:val="666666"/>
          <w:sz w:val="18"/>
          <w:szCs w:val="18"/>
        </w:rPr>
        <w:t xml:space="preserve">Reverse P/E: At ~10x trailing EPS, even the decelerated ~20% revenue path is well ahead of the roughly 0-5% EPS CAGR the multiple implies; the rate-of-change is slowing but off a very undemanding base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Reinvesting operating profit plus ~Rs 3.8 Cr of new secured debt into capacity (1,440 t/yr moulding, shade-net line 3.5 lakh kg/yr) and new categories; incremental returns still look healthy (FY26 ROE 23.3%) but FY26 operating cash flow was negative Rs 8.4 Cr before capex, so growth is currently funded partly by working-capital stretch and new debt rather than internal accruals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initiated</w:t>
            </w:r>
          </w:p>
        </w:tc>
      </w:tr>
      <w:tr>
        <w:tc>
          <w:tcPr>
            <w:tcW w:type="dxa" w:w="3200"/>
            <w:shd w:fill="F2F2F2" w:val="clear"/>
          </w:tcPr>
          <w:p>
            <w:r>
              <w:rPr>
                <w:b/>
                <w:bCs/>
              </w:rPr>
              <w:t xml:space="preserve">Capability ladder / VAP</w:t>
            </w:r>
          </w:p>
        </w:tc>
        <w:tc>
          <w:tcPr>
            <w:tcW w:type="dxa" w:w="5800"/>
          </w:tcPr>
          <w:p>
            <w:r>
              <w:t xml:space="preserve">Explicit move up the value curve - from basic planters to premium decor, outdoor furniture (Muebles), India-first rotomoulded decorative fountains and Agri Shield technical shade nets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24% (stable)</w:t>
            </w:r>
          </w:p>
        </w:tc>
      </w:tr>
      <w:tr>
        <w:tc>
          <w:tcPr>
            <w:tcW w:type="dxa" w:w="3200"/>
            <w:shd w:fill="F2F2F2" w:val="clear"/>
          </w:tcPr>
          <w:p>
            <w:r>
              <w:rPr>
                <w:b/>
                <w:bCs/>
              </w:rPr>
              <w:t xml:space="preserve">Leverage</w:t>
            </w:r>
          </w:p>
        </w:tc>
        <w:tc>
          <w:tcPr>
            <w:tcW w:type="dxa" w:w="5800"/>
          </w:tcPr>
          <w:p>
            <w:r>
              <w:t xml:space="preserve">Net debt/EBITDA 0.2x</w:t>
            </w:r>
          </w:p>
        </w:tc>
      </w:tr>
      <w:tr>
        <w:tc>
          <w:tcPr>
            <w:tcW w:type="dxa" w:w="3200"/>
            <w:shd w:fill="F2F2F2" w:val="clear"/>
          </w:tcPr>
          <w:p>
            <w:r>
              <w:rPr>
                <w:b/>
                <w:bCs/>
              </w:rPr>
              <w:t xml:space="preserve">FCF conversion</w:t>
            </w:r>
          </w:p>
        </w:tc>
        <w:tc>
          <w:tcPr>
            <w:tcW w:type="dxa" w:w="5800"/>
          </w:tcPr>
          <w:p>
            <w:r>
              <w:t xml:space="preserve">-60%</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unclear</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3 years (consistency_score 100)</w:t>
      </w:r>
    </w:p>
    <w:p>
      <w:pPr>
        <w:spacing w:after="120"/>
      </w:pPr>
      <w:r>
        <w:rPr>
          <w:color w:val="666666"/>
          <w:sz w:val="18"/>
          <w:szCs w:val="18"/>
        </w:rPr>
        <w:t xml:space="preserve">FY24, FY25 and FY26 each combined revenue growth &gt;=20% with ROE/ROCE &gt;=23%. Only ~3 years of public filings as a Feb-2024 BSE-SME listing, so a short verifiable base - not a decade-long Coffee Can record.</w:t>
      </w:r>
    </w:p>
    <w:p>
      <w:pPr>
        <w:pStyle w:val="Heading1"/>
        <w:spacing w:after="120" w:before="280"/>
      </w:pPr>
      <w:r>
        <w:t xml:space="preserve">Technical Read (Weekly / Monthly MACD + Bollinger Bands, or RSI/CCI/Williams %R proxy)</w:t>
      </w:r>
    </w:p>
    <w:p>
      <w:pPr>
        <w:spacing w:after="120"/>
      </w:pPr>
      <w:r>
        <w:t xml:space="preserve">Not independently pulled; thinly-traded BSE-SME name, so price action is illiquid and volatile. Stock reportedly fell after the strong FY26 print, on the growth deceleration and negative operating cash flow.</w:t>
      </w:r>
    </w:p>
    <w:p>
      <w:pPr>
        <w:pStyle w:val="Heading1"/>
        <w:spacing w:after="120" w:before="280"/>
      </w:pPr>
      <w:r>
        <w:t xml:space="preserve">ValuePickr Community Signal</w:t>
      </w:r>
    </w:p>
    <w:p>
      <w:pPr>
        <w:spacing w:after="120"/>
      </w:pPr>
      <w:r>
        <w:t xml:space="preserve">Small 5-post thread (since Jul 2026). abhicnr (elevated) authored a well-received intro (7 loves): Rs 130 Cr mcap, ~Rs 69 Cr revenue, ~Rs 13 Cr PAT, ROE ~23%, D/E ~0.06, 3-yr CAGR ~25%, moat from the design/SKU/mould library plus distribution and institutional relationships. The only substantive pushback (RoyD) is that cash flows are getting locked in working capital, FCF is negative, and scaling a low-barrier plastic-products business will be a challenge; abhicnr's reply frames the working-capital drag as a normal early-growth investment phase, noting the company still declared its first dividend. The FY26 filing broadly validates the bear's cash-flow concern.</w:t>
      </w:r>
    </w:p>
    <w:p>
      <w:pPr>
        <w:spacing w:after="120"/>
      </w:pPr>
      <w:r>
        <w:rPr>
          <w:b/>
          <w:bCs/>
          <w:sz w:val="20"/>
          <w:szCs w:val="20"/>
        </w:rPr>
        <w:t xml:space="preserve">High-conviction call from a top contributor: </w:t>
      </w:r>
      <w:r>
        <w:rPr>
          <w:sz w:val="20"/>
          <w:szCs w:val="20"/>
        </w:rPr>
        <w:t xml:space="preserve">abhicnr (elevated) - authored the thesis and engaged constructively with the bear case; a positive stance from an elevated-tier user, though framed as a growth micro-cap idea rather than a high-conviction, sized position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2026-07-27 — abhicnr</w:t>
      </w:r>
      <w:r>
        <w:rPr>
          <w:i/>
          <w:iCs/>
          <w:color w:val="666666"/>
          <w:sz w:val="18"/>
          <w:szCs w:val="18"/>
        </w:rPr>
        <w:t xml:space="preserve"> (Harshdeep Hortico Ltd (SME) company thread)</w:t>
      </w:r>
      <w:r>
        <w:rPr>
          <w:sz w:val="20"/>
          <w:szCs w:val="20"/>
        </w:rPr>
        <w:br/>
        <w:t xml:space="preserve">: Authored the thread's founding thesis (7 loves): ~25% ROE, near-zero debt, ~25% 3-yr revenue CAGR, moat from a 500-design / 2,200-SKU mould library plus a nationwide distribution and institutional-customer network. Defended the case against the working-capital / negative-FCF critique as a normal early-growth investment phase. Elevated tier, not core; no conviction floor active - treated as a positive informational signal.</w:t>
      </w:r>
    </w:p>
    <w:p>
      <w:pPr>
        <w:pStyle w:val="Heading1"/>
        <w:spacing w:after="120" w:before="280"/>
      </w:pPr>
      <w:r>
        <w:t xml:space="preserve">BSE Corporate Actions / Other Red Flags</w:t>
      </w:r>
    </w:p>
    <w:p>
      <w:pPr>
        <w:spacing w:after="120"/>
      </w:pPr>
      <w:r>
        <w:t xml:space="preserve">No SEBI or corporate-action red flag found. Second dividend (Rs 0.25/sh) declared for FY26 despite being in an expansion phase. BSE-SME listed Feb 2024 at Rs 42 (issue price). H2 FY26 earnings call held 21 May 2026 (audio on company site). New product launch: rotomoulded decorative water fountains, 19 Apr 2026. Capacity-expansion announcements through FY26 (shade-net line 3.5 lakh kg/yr; Agri Shield +200 t; total moulding 1,440 t/yr).</w:t>
      </w:r>
    </w:p>
    <w:p>
      <w:pPr>
        <w:pStyle w:val="Heading1"/>
        <w:spacing w:after="120" w:before="280"/>
      </w:pPr>
      <w:r>
        <w:t xml:space="preserve">Bull Case</w:t>
      </w:r>
    </w:p>
    <w:p>
      <w:pPr>
        <w:pStyle w:val="ListParagraph"/>
        <w:numPr>
          <w:ilvl w:val="0"/>
          <w:numId w:val="1"/>
        </w:numPr>
        <w:spacing w:after="60"/>
      </w:pPr>
      <w:r>
        <w:t xml:space="preserve">Strong micro-cap economics confirmed in FY26: ROE 23.3%, ROCE ~24%, EBITDA margin ~29% (+32% EBITDA growth on +22% revenue - real operating leverage)</w:t>
      </w:r>
    </w:p>
    <w:p>
      <w:pPr>
        <w:pStyle w:val="ListParagraph"/>
        <w:numPr>
          <w:ilvl w:val="0"/>
          <w:numId w:val="1"/>
        </w:numPr>
        <w:spacing w:after="60"/>
      </w:pPr>
      <w:r>
        <w:t xml:space="preserve">Cheap: ~10x FY26 earnings, ~6.5x EV/EBITDA, ~2.2x P/B - the multiple prices in almost no growth for a business still compounding ~20-25%</w:t>
      </w:r>
    </w:p>
    <w:p>
      <w:pPr>
        <w:pStyle w:val="ListParagraph"/>
        <w:numPr>
          <w:ilvl w:val="0"/>
          <w:numId w:val="1"/>
        </w:numPr>
        <w:spacing w:after="60"/>
      </w:pPr>
      <w:r>
        <w:t xml:space="preserve">Broad-based growth into new categories - outdoor furniture (Muebles), Agri Shield technical shade nets, rotomoulded decorative fountains (India-first), plus exports - a genuine value-add ladder up from basic planters</w:t>
      </w:r>
    </w:p>
    <w:p>
      <w:pPr>
        <w:pStyle w:val="ListParagraph"/>
        <w:numPr>
          <w:ilvl w:val="0"/>
          <w:numId w:val="1"/>
        </w:numPr>
        <w:spacing w:after="60"/>
      </w:pPr>
      <w:r>
        <w:t xml:space="preserve">Combination moat: 2,200+ SKUs / 500+ designs on a years-built mould library, a nationwide distribution network, and institutional (airport/hotel/builder) relationships that are slow to replicate</w:t>
      </w:r>
    </w:p>
    <w:p>
      <w:pPr>
        <w:pStyle w:val="ListParagraph"/>
        <w:numPr>
          <w:ilvl w:val="0"/>
          <w:numId w:val="1"/>
        </w:numPr>
        <w:spacing w:after="60"/>
      </w:pPr>
      <w:r>
        <w:t xml:space="preserve">Rs ~130 Cr market cap against a formalising end-market (urban gardening, landscaping, hospitality/infra decor) - long runway; second consecutive dividend while investing signals some capital discipline</w:t>
      </w:r>
    </w:p>
    <w:p>
      <w:pPr>
        <w:pStyle w:val="Heading1"/>
        <w:spacing w:after="120" w:before="280"/>
      </w:pPr>
      <w:r>
        <w:t xml:space="preserve">Bear Case / Key Risks</w:t>
      </w:r>
    </w:p>
    <w:p>
      <w:pPr>
        <w:pStyle w:val="ListParagraph"/>
        <w:numPr>
          <w:ilvl w:val="0"/>
          <w:numId w:val="1"/>
        </w:numPr>
        <w:spacing w:after="60"/>
      </w:pPr>
      <w:r>
        <w:t xml:space="preserve">Cash conversion is the core problem and the FY26 filing confirms it: operating cash flow was NEGATIVE Rs 8.4 Cr before any capex, as inventory and working capital absorbed cash; FCF deeply negative and the company drew new secured debt to bridge it</w:t>
      </w:r>
    </w:p>
    <w:p>
      <w:pPr>
        <w:pStyle w:val="ListParagraph"/>
        <w:numPr>
          <w:ilvl w:val="0"/>
          <w:numId w:val="1"/>
        </w:numPr>
        <w:spacing w:after="60"/>
      </w:pPr>
      <w:r>
        <w:t xml:space="preserve">Growth decelerated through FY26 - H1 revenue up ~31-35% but H2 only +15%, PAT growth H1 +35% -&gt; H2 +25%; full-year +22% is below the ~25%+ multi-year CAGR</w:t>
      </w:r>
    </w:p>
    <w:p>
      <w:pPr>
        <w:pStyle w:val="ListParagraph"/>
        <w:numPr>
          <w:ilvl w:val="0"/>
          <w:numId w:val="1"/>
        </w:numPr>
        <w:spacing w:after="60"/>
      </w:pPr>
      <w:r>
        <w:t xml:space="preserve">Underlying products (moulded plastic / FRP planters) have low manufacturing barriers; the ~29% EBITDA margin looks high for the category and could normalise toward the low-20s under competition or input-cost pressure</w:t>
      </w:r>
    </w:p>
    <w:p>
      <w:pPr>
        <w:pStyle w:val="ListParagraph"/>
        <w:numPr>
          <w:ilvl w:val="0"/>
          <w:numId w:val="1"/>
        </w:numPr>
        <w:spacing w:after="60"/>
      </w:pPr>
      <w:r>
        <w:t xml:space="preserve">BSE-SME scale: thin disclosure (no RPT / pledge / auditor detail readily available), low liquidity, execution risk on multiple simultaneous new verticals</w:t>
      </w:r>
    </w:p>
    <w:p>
      <w:pPr>
        <w:pStyle w:val="ListParagraph"/>
        <w:numPr>
          <w:ilvl w:val="0"/>
          <w:numId w:val="1"/>
        </w:numPr>
        <w:spacing w:after="60"/>
      </w:pPr>
      <w:r>
        <w:t xml:space="preserve">Institutional/infra demand (airports, builders) is lumpy and working-capital-heavy via project receivables - structurally at odds with turning FCF positive while growing fast</w:t>
      </w:r>
    </w:p>
    <w:p>
      <w:pPr>
        <w:pStyle w:val="Heading1"/>
        <w:spacing w:after="120" w:before="280"/>
      </w:pPr>
      <w:r>
        <w:t xml:space="preserve">Market-Cap Tier (informational — not a gate in this project)</w:t>
      </w:r>
    </w:p>
    <w:p>
      <w:pPr>
        <w:spacing w:after="120"/>
      </w:pPr>
      <w:r>
        <w:rPr>
          <w:b/>
          <w:bCs/>
        </w:rPr>
        <w:t xml:space="preserve">Micro-cap / SME (~Rs 130 Cr)</w:t>
      </w:r>
    </w:p>
    <w:p>
      <w:pPr>
        <w:pStyle w:val="Heading1"/>
        <w:spacing w:after="120" w:before="280"/>
      </w:pPr>
      <w:r>
        <w:t xml:space="preserve">Thesis Fit</w:t>
      </w:r>
    </w:p>
    <w:p>
      <w:pPr>
        <w:spacing w:after="120"/>
      </w:pPr>
      <w:r>
        <w:rPr>
          <w:b/>
          <w:bCs/>
          <w:sz w:val="24"/>
          <w:szCs w:val="24"/>
        </w:rPr>
        <w:t xml:space="preserve">10x-in-2-3-years - a genuinely fast-growing, high-ROE, debt-light micro-cap with a distribution/design moat, a formalising end-market and a cheap ~10x multiple; classification stays unconfirmed because persistent negative operating cash flow, H2 FY26 deceleration and SME scale make a literal near-term 10x a stretch - treat it as a multi-year rather than 2-3-year multibagger case, contingent on cash flow turning</w:t>
      </w:r>
    </w:p>
    <w:p>
      <w:pPr>
        <w:spacing w:after="120"/>
      </w:pPr>
      <w:r>
        <w:rPr>
          <w:color w:val="666666"/>
          <w:sz w:val="20"/>
          <w:szCs w:val="20"/>
        </w:rPr>
        <w:t xml:space="preserve">4-box gate — tailwind: yes · TAM: yes · moat: weak · valuation: yes  (score 3.5 / 4)</w:t>
      </w:r>
    </w:p>
    <w:p>
      <w:pPr>
        <w:spacing w:after="120"/>
      </w:pPr>
      <w:r>
        <w:rPr>
          <w:i/>
          <w:iCs/>
          <w:color w:val="666666"/>
          <w:sz w:val="20"/>
          <w:szCs w:val="20"/>
        </w:rPr>
        <w:t xml:space="preserve">moat downgraded to weak this pass - moulded-plastic products have low manufacturing barriers, the edge is design library + distribution + institutional relationships, not technology or structural cost. tailwind (formalising urban-gardening/landscaping/infra-decor demand), tam (Rs 130 Cr mcap vs Rs 69 Cr revenue) and valuation (~10x FY26 P/E, ~6.5x EV/EBITDA - thesis not priced in) all yes. Score 3.5 -&gt; 10x-in-2-3-years permitted; the live risk is negative operating cash flow, a cash-conversion not a pricing issue.</w:t>
      </w:r>
    </w:p>
    <w:p>
      <w:pPr>
        <w:pStyle w:val="Heading1"/>
        <w:spacing w:after="120" w:before="280"/>
      </w:pPr>
      <w:r>
        <w:t xml:space="preserve">Verdict</w:t>
      </w:r>
    </w:p>
    <w:p>
      <w:pPr>
        <w:spacing w:after="120"/>
      </w:pPr>
      <w:r>
        <w:rPr>
          <w:b/>
          <w:bCs/>
          <w:sz w:val="24"/>
          <w:szCs w:val="24"/>
        </w:rPr>
        <w:t xml:space="preserve">High-ROE, debt-light garden-decor micro-cap - FY26 confirmed ~22% growth, ~29% EBITDA margin and a cheap 10x multiple, but also negative operating cash flow before capex and H2 deceleration. Conviction Medium, unconfirmed</w:t>
      </w:r>
    </w:p>
    <w:p>
      <w:pPr>
        <w:pStyle w:val="ListParagraph"/>
        <w:numPr>
          <w:ilvl w:val="0"/>
          <w:numId w:val="1"/>
        </w:numPr>
        <w:spacing w:after="60"/>
      </w:pPr>
      <w:r>
        <w:t xml:space="preserve">Deep-dive pass 1 (FY26 filing + H1/H2 FY26 results + concall + BSE announcements). The trailing record (~25% ROE, ~25% 3-yr CAGR, near-zero debt) and FY26 actuals (revenue Rs 68.7 Cr +22%, PAT Rs 12.5 Cr +29%, EBITDA Rs 19.8 Cr ~29% margin, ROE 23.3%, net worth +44%) are strong, and the end-market (urban gardening, landscaping, hospitality/infra decor) is formalising.</w:t>
      </w:r>
    </w:p>
    <w:p>
      <w:pPr>
        <w:pStyle w:val="ListParagraph"/>
        <w:numPr>
          <w:ilvl w:val="0"/>
          <w:numId w:val="1"/>
        </w:numPr>
        <w:spacing w:after="60"/>
      </w:pPr>
      <w:r>
        <w:t xml:space="preserve">The FY26 filing turned the cash-flow concern from hypothetical to evidenced: operating cash flow was negative Rs 8.4 Cr BEFORE capex of Rs 8.5 Cr, and ~Rs 3.8 Cr of new secured loans were drawn to bridge the gap. H2 FY26 growth also decelerated sharply (revenue +15% vs H1 ~+31-35%). Against that, the stock is genuinely cheap at ~10x FY26 earnings / ~6.5x EV/EBITDA, so the market is already discounting these risks.</w:t>
      </w:r>
    </w:p>
    <w:p>
      <w:pPr>
        <w:pStyle w:val="ListParagraph"/>
        <w:numPr>
          <w:ilvl w:val="0"/>
          <w:numId w:val="1"/>
        </w:numPr>
        <w:spacing w:after="60"/>
      </w:pPr>
      <w:r>
        <w:t xml:space="preserve">abhicnr (elevated) authored and defended the thesis; logged as a positive trusted_signal, but he is elevated not core and no conviction floor is active, so conviction is set on the fundamentals: Medium (unchanged). The cheap valuation and real growth are offset by the now-evidenced negative operating cash flow and deceleration.</w:t>
      </w:r>
    </w:p>
    <w:p>
      <w:pPr>
        <w:pStyle w:val="ListParagraph"/>
        <w:numPr>
          <w:ilvl w:val="0"/>
          <w:numId w:val="1"/>
        </w:numPr>
        <w:spacing w:after="60"/>
      </w:pPr>
      <w:r>
        <w:t xml:space="preserve">No red-flag tier. four_box score 3.5 (moat downgraded to weak - low manufacturing barriers; valuation upgraded to yes at ~10x). thesis_fit 10x-in-2-3-years with an explicit unconfirmed caveat. Key watch items: does H1 FY27 (Nov 2026) show operating cash flow turning positive, and does revenue growth hold at 20%+ after the H2 slowdown.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Harshdeep Hortico Ltd</w:t>
      </w:r>
    </w:p>
    <w:p>
      <w:pPr>
        <w:ind w:left="360"/>
      </w:pPr>
      <w:r>
        <w:t xml:space="preserve">  • Conviction: Not rated</w:t>
      </w:r>
    </w:p>
    <w:p>
      <w:pPr>
        <w:ind w:left="360"/>
      </w:pPr>
      <w:r>
        <w:t xml:space="preserve">  • Thesis: 10x-in-2-3-years - a genuinely fast-growing, high-ROE, debt-light micro-cap with a distribution/design moat, a formalising end-market and a cheap ~10x multiple; classification stays unconfirmed because persistent negative operating cash flow, H2 FY26 deceleration and SME scale make a literal near-term 10x a stretch - treat it as a multi-year rather than 2-3-year multibagger case, contingent on cash flow turning</w:t>
      </w:r>
    </w:p>
    <w:p>
      <w:pPr>
        <w:ind w:left="360"/>
      </w:pPr>
      <w:r>
        <w:t xml:space="preserve">  • 4-Box Score: 3.5</w:t>
      </w:r>
    </w:p>
    <w:p>
      <w:pPr>
        <w:ind w:left="360"/>
      </w:pPr>
      <w:r>
        <w:t xml:space="preserve">  • Research Date: 2026-09-07</w:t>
      </w:r>
    </w:p>
    <w:p>
      <w:pPr>
        <w:ind w:left="360"/>
      </w:pPr>
      <w:r>
        <w:t xml:space="preserve">  • Red Flag: None</w:t>
      </w:r>
    </w:p>
    <w:p/>
    <w:p>
      <w:r>
        <w:rPr>
          <w:b/>
        </w:rPr>
        <w:t>📝 Verdict:</w:t>
      </w:r>
    </w:p>
    <w:p>
      <w:pPr>
        <w:ind w:left="360"/>
      </w:pPr>
      <w:r>
        <w:t>High-ROE, debt-light garden-decor micro-cap - FY26 confirmed ~22% growth, ~29% EBITDA margin and a cheap 10x multiple, but also negative operating cash flow before capex and H2 deceleration. Conviction Medium, unconfirmed</w:t>
      </w:r>
    </w:p>
    <w:p/>
    <w:p>
      <w:r>
        <w:rPr>
          <w:b/>
        </w:rPr>
        <w:t>📈 Bull Case:</w:t>
      </w:r>
    </w:p>
    <w:p>
      <w:pPr>
        <w:ind w:left="360"/>
      </w:pPr>
      <w:r>
        <w:t>Strong micro-cap economics confirmed in FY26: ROE 23.3%, ROCE ~24%, EBITDA margin ~29% (+32% EBITDA growth on +22% revenue - real operating leverage)</w:t>
      </w:r>
    </w:p>
    <w:p>
      <w:pPr>
        <w:ind w:left="360"/>
      </w:pPr>
      <w:r>
        <w:t>Cheap: ~10x FY26 earnings, ~6.5x EV/EBITDA, ~2.2x P/B - the multiple prices in almost no growth for a business still compounding ~20-25%</w:t>
      </w:r>
    </w:p>
    <w:p>
      <w:pPr>
        <w:ind w:left="360"/>
      </w:pPr>
      <w:r>
        <w:t>Broad-based growth into new categories - outdoor furniture (Muebles), Agri Shield technical shade nets, rotomoulded decorative fountains (India-first), plus exports - a genuine value-add ladder up from basic planters</w:t>
      </w:r>
    </w:p>
    <w:p>
      <w:pPr>
        <w:ind w:left="360"/>
      </w:pPr>
      <w:r>
        <w:t>Combination moat: 2,200+ SKUs / 500+ designs on a years-built mould library, a nationwide distribution network, and institutional (airport/hotel/builder) relationships that are slow to replicate</w:t>
      </w:r>
    </w:p>
    <w:p>
      <w:pPr>
        <w:ind w:left="360"/>
      </w:pPr>
      <w:r>
        <w:t>Rs ~130 Cr market cap against a formalising end-market (urban gardening, landscaping, hospitality/infra decor) - long runway; second consecutive dividend while investing signals some capital discipline</w:t>
      </w:r>
    </w:p>
    <w:p/>
    <w:p>
      <w:r>
        <w:rPr>
          <w:b/>
        </w:rPr>
        <w:t>📉 Bear Case:</w:t>
      </w:r>
    </w:p>
    <w:p>
      <w:pPr>
        <w:ind w:left="360"/>
      </w:pPr>
      <w:r>
        <w:t>Cash conversion is the core problem and the FY26 filing confirms it: operating cash flow was NEGATIVE Rs 8.4 Cr before any capex, as inventory and working capital absorbed cash; FCF deeply negative and the company drew new secured debt to bridge it</w:t>
      </w:r>
    </w:p>
    <w:p>
      <w:pPr>
        <w:ind w:left="360"/>
      </w:pPr>
      <w:r>
        <w:t>Growth decelerated through FY26 - H1 revenue up ~31-35% but H2 only +15%, PAT growth H1 +35% -&gt; H2 +25%; full-year +22% is below the ~25%+ multi-year CAGR</w:t>
      </w:r>
    </w:p>
    <w:p>
      <w:pPr>
        <w:ind w:left="360"/>
      </w:pPr>
      <w:r>
        <w:t>Underlying products (moulded plastic / FRP planters) have low manufacturing barriers; the ~29% EBITDA margin looks high for the category and could normalise toward the low-20s under competition or input-cost pressure</w:t>
      </w:r>
    </w:p>
    <w:p>
      <w:pPr>
        <w:ind w:left="360"/>
      </w:pPr>
      <w:r>
        <w:t>BSE-SME scale: thin disclosure (no RPT / pledge / auditor detail readily available), low liquidity, execution risk on multiple simultaneous new verticals</w:t>
      </w:r>
    </w:p>
    <w:p>
      <w:pPr>
        <w:ind w:left="360"/>
      </w:pPr>
      <w:r>
        <w:t>Institutional/infra demand (airports, builders) is lumpy and working-capital-heavy via project receivables - structurally at odds with turning FCF positive while growing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2026-09-07T14:05:52.783Z</dcterms:created>
  <dcterms:modified xsi:type="dcterms:W3CDTF">2026-09-07T14:05:52.789Z</dcterms:modified>
</cp:coreProperties>
</file>

<file path=docProps/custom.xml><?xml version="1.0" encoding="utf-8"?>
<Properties xmlns="http://schemas.openxmlformats.org/officeDocument/2006/custom-properties" xmlns:vt="http://schemas.openxmlformats.org/officeDocument/2006/docPropsVTypes"/>
</file>