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International Gemmological Institute (India) Ltd (IGI)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Global diamond/gemstone/jewellery certification leader (including lab-grown diamonds) with strong margins and growth, but at a ~Rs 15,000 Cr market cap this reads as large-cap with no specific named structural inflection found this pass.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IGI is a global leader in certifying diamonds (natural and lab-grown), gemstones and jewellery. Q1 FY27 revenue grew ~23% YoY with EBITDA up ~29% to Rs 2,238 mn at a ~60.4% margin. Seeded via untrusted X triage (@PRATIKBULANI555, 2026-09-13, high conviction per the X source).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15,022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 avg)</w:t>
            </w:r>
          </w:p>
        </w:tc>
        <w:tc>
          <w:tcPr>
            <w:tcW w:type="dxa" w:w="5800"/>
          </w:tcPr>
          <w:p>
            <w:r>
              <w:t xml:space="preserve">~31.8%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Q1 FY27 +23% YoY; 5-yr profit CAGR ~67.8%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EBITDA margin ~60.4% (Q1 FY27)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287 - Rs 392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Very high-quality metrics (near-60% EBITDA margins, ~32% ROE, debt-free, strong growth) reflecting IGI's asset-light, high-barrier certification-lab moat and the structural rise of lab-grown diamonds as a certification category. However at ~Rs 15,000 Cr this sits in large-cap territory for this project's convention, and this pass did not surface a specific NAMED management/structural inflection (e.g., a new regulatory certification mandate, a named capital-allocation shift) beyond the existing 'lab-grown diamond growth' narrative, which is a well-known structural theme already reflected in the business's strong reported numbers - the fast-lane default therefore applies.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mid-range of its 52-week band (~Rs 287-392); no technical read pulled beyond that.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per large-cap-no-inflection fast-lane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 (large-cap fast lane).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in this pass (screener/web sources only).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Exceptional margins (~60% EBITDA) and ROE (~32%) reflecting a genuine certification-lab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lab-grown-diamond volume growth benefits IGI as the leading certifier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balance sheet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structural/management inflection confirmed this pass beyond the existing lab-grown-diamond growth narrative - large-cap fast-lane default applies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Recently listed - limited multi-year public track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Certification volumes/pricing exposed to diamond-jewellery demand cycles and any shift in lab-grown diamond retail pricing trends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15,000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High-margin, high-ROE certification-lab leader in the lab-grown-diamond growth wave; no specific named inflection found this pass at a ~Rs 15,000 Cr market cap -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(~Rs 15,000 Cr) triggers the default tam:no fast-lane rule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Lab-grown-diamond growth is a real structural theme but reads as an existing well-known narrative rather than a newly identified named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found; exceptional margins/ROE and debt-free balance sheet support Low-Medium (not just Low)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per fast-lane rule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International Gemmological Institute (India) Ltd (IGI)</w:t>
      </w:r>
    </w:p>
    <w:p>
      <w:pPr>
        <w:ind w:left="360"/>
      </w:pPr>
      <w:r>
        <w:t xml:space="preserve">  • Conviction: None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N/A</w:t>
      </w:r>
    </w:p>
    <w:p>
      <w:pPr>
        <w:ind w:left="360"/>
      </w:pPr>
      <w:r>
        <w:t xml:space="preserve">  • Research Date: 2026-09-26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High-margin, high-ROE certification-lab leader in the lab-grown-diamond growth wave; no specific named inflection found this pass at a ~Rs 15,000 Cr market cap - thesis_fit 'neither', conviction Low-Medium.</w:t>
      </w:r>
    </w:p>
    <w:p/>
    <w:p>
      <w:r>
        <w:rPr>
          <w:b/>
        </w:rPr>
        <w:t>📈 Bull Case:</w:t>
      </w:r>
    </w:p>
    <w:p>
      <w:pPr>
        <w:ind w:left="360"/>
      </w:pPr>
      <w:r>
        <w:t>Exceptional margins (~60% EBITDA) and ROE (~32%) reflecting a genuine certification-lab moat</w:t>
      </w:r>
    </w:p>
    <w:p>
      <w:pPr>
        <w:ind w:left="360"/>
      </w:pPr>
      <w:r>
        <w:t>Structural lab-grown-diamond volume growth benefits IGI as the leading certifier</w:t>
      </w:r>
    </w:p>
    <w:p>
      <w:pPr>
        <w:ind w:left="360"/>
      </w:pPr>
      <w:r>
        <w:t>Debt-free balance sheet</w:t>
      </w:r>
    </w:p>
    <w:p/>
    <w:p>
      <w:r>
        <w:rPr>
          <w:b/>
        </w:rPr>
        <w:t>📉 Bear Case:</w:t>
      </w:r>
    </w:p>
    <w:p>
      <w:pPr>
        <w:ind w:left="360"/>
      </w:pPr>
      <w:r>
        <w:t>No specific named structural/management inflection confirmed this pass beyond the existing lab-grown-diamond growth narrative - large-cap fast-lane default applies</w:t>
      </w:r>
    </w:p>
    <w:p>
      <w:pPr>
        <w:ind w:left="360"/>
      </w:pPr>
      <w:r>
        <w:t>Recently listed - limited multi-year public track record</w:t>
      </w:r>
    </w:p>
    <w:p>
      <w:pPr>
        <w:ind w:left="360"/>
      </w:pPr>
      <w:r>
        <w:t>Certification volumes/pricing exposed to diamond-jewellery demand cycles and any shift in lab-grown diamond retail pricing trends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2026-09-15T15:09:12.982Z</dcterms:created>
  <dcterms:modified xsi:type="dcterms:W3CDTF">2026-09-15T15:09:12.983Z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