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JNK India Ltd</w:t>
      </w:r>
    </w:p>
    <w:p>
      <w:pPr>
        <w:pBdr>
          <w:bottom w:val="single" w:color="CCCCCC" w:sz="6" w:space="8"/>
        </w:pBdr>
        <w:spacing w:after="200"/>
      </w:pPr>
      <w:r>
        <w:rPr>
          <w:i/>
          <w:iCs/>
          <w:color w:val="666666"/>
          <w:sz w:val="22"/>
          <w:szCs w:val="22"/>
        </w:rPr>
        <w:t xml:space="preserve">Small-cap fired-heater / reformer maker riding the refinery capex upcycle with a ~Rs 1,801 Cr order book, but capital efficiency (ROCE ~17%) and cash conversion are far weaker than first assumed, and a rich ~32x multiple already prices in unwon catalysts</w:t>
      </w:r>
    </w:p>
    <w:p>
      <w:pPr>
        <w:pStyle w:val="Heading1"/>
        <w:spacing w:after="120" w:before="280"/>
      </w:pPr>
      <w:r>
        <w:t xml:space="preserve">Business Overview</w:t>
      </w:r>
    </w:p>
    <w:p>
      <w:pPr>
        <w:spacing w:after="120"/>
      </w:pPr>
      <w:r>
        <w:t xml:space="preserve">JNK India (incorporated 2010) designs, manufactures, installs and commissions process-fired heaters, reformers and cracking furnaces for oil &amp; gas refineries, petrochemical, fertiliser and steel customers. It has a strategic collaboration with Korean promoter JNK Global, which routes a large and growing share of export/EPC orders on a back-to-back basis. Newer avenues: green hydrogen and sustainable aviation fuel via the JNK Chemdist JV (still loss-making), plus a push into non-heating equipment for metals &amp; minerals, offshore and renewables.</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2,416 Cr (price ~Rs 431, Sep 2026)</w:t>
            </w:r>
          </w:p>
        </w:tc>
      </w:tr>
      <w:tr>
        <w:tc>
          <w:tcPr>
            <w:tcW w:type="dxa" w:w="3200"/>
            <w:shd w:fill="F2F2F2" w:val="clear"/>
          </w:tcPr>
          <w:p>
            <w:r>
              <w:rPr>
                <w:b/>
                <w:bCs/>
              </w:rPr>
              <w:t xml:space="preserve">ROCE / ROE</w:t>
            </w:r>
          </w:p>
        </w:tc>
        <w:tc>
          <w:tcPr>
            <w:tcW w:type="dxa" w:w="5800"/>
          </w:tcPr>
          <w:p>
            <w:r>
              <w:t xml:space="preserve">~17.5% / ~12.1% (FY26) - down sharply from 46-54% in FY22-FY23; the earlier ~53% figure was a pre-scale number, not current</w:t>
            </w:r>
          </w:p>
        </w:tc>
      </w:tr>
      <w:tr>
        <w:tc>
          <w:tcPr>
            <w:tcW w:type="dxa" w:w="3200"/>
            <w:shd w:fill="F2F2F2" w:val="clear"/>
          </w:tcPr>
          <w:p>
            <w:r>
              <w:rPr>
                <w:b/>
                <w:bCs/>
              </w:rPr>
              <w:t xml:space="preserve">Revenue</w:t>
            </w:r>
          </w:p>
        </w:tc>
        <w:tc>
          <w:tcPr>
            <w:tcW w:type="dxa" w:w="5800"/>
          </w:tcPr>
          <w:p>
            <w:r>
              <w:t xml:space="preserve">Rs 819-838 Cr FY26 (+68-72% YoY vs ~Rs 477 Cr FY25, which was itself flat vs FY24); Q1 FY27 consolidated Rs 186 Cr (+80.6%, off a very soft base)</w:t>
            </w:r>
          </w:p>
        </w:tc>
      </w:tr>
      <w:tr>
        <w:tc>
          <w:tcPr>
            <w:tcW w:type="dxa" w:w="3200"/>
            <w:shd w:fill="F2F2F2" w:val="clear"/>
          </w:tcPr>
          <w:p>
            <w:r>
              <w:rPr>
                <w:b/>
                <w:bCs/>
              </w:rPr>
              <w:t xml:space="preserve">Profit / margin</w:t>
            </w:r>
          </w:p>
        </w:tc>
        <w:tc>
          <w:tcPr>
            <w:tcW w:type="dxa" w:w="5800"/>
          </w:tcPr>
          <w:p>
            <w:r>
              <w:t xml:space="preserve">FY26 PAT ~Rs 65 Cr (+115%); FY26 EBITDA margin ~11%. Q1 FY27 EBITDA Rs 21.9 Cr (11.8% margin vs 7%), PAT Rs 9.6 Cr (8.5x off Rs 1.1 Cr base). Standalone Q1 EBITDA margin ~14%</w:t>
            </w:r>
          </w:p>
        </w:tc>
      </w:tr>
      <w:tr>
        <w:tc>
          <w:tcPr>
            <w:tcW w:type="dxa" w:w="3200"/>
            <w:shd w:fill="F2F2F2" w:val="clear"/>
          </w:tcPr>
          <w:p>
            <w:r>
              <w:rPr>
                <w:b/>
                <w:bCs/>
              </w:rPr>
              <w:t xml:space="preserve">Order book / pipeline</w:t>
            </w:r>
          </w:p>
        </w:tc>
        <w:tc>
          <w:tcPr>
            <w:tcW w:type="dxa" w:w="5800"/>
          </w:tcPr>
          <w:p>
            <w:r>
              <w:t xml:space="preserve">~Rs 1,801 Cr order book (Jun-26, ~2.2x FY26 revenue); &gt;Rs 6,000 Cr bid pipeline (Rs 3,000 Cr export heating @ 20-25% hit rate + Rs 3,000 Cr domestic non-heating @ 10-12%); expected inflow Rs 1,200-1,500 Cr/yr</w:t>
            </w:r>
          </w:p>
        </w:tc>
      </w:tr>
      <w:tr>
        <w:tc>
          <w:tcPr>
            <w:tcW w:type="dxa" w:w="3200"/>
            <w:shd w:fill="F2F2F2" w:val="clear"/>
          </w:tcPr>
          <w:p>
            <w:r>
              <w:rPr>
                <w:b/>
                <w:bCs/>
              </w:rPr>
              <w:t xml:space="preserve">Cash flow</w:t>
            </w:r>
          </w:p>
        </w:tc>
        <w:tc>
          <w:tcPr>
            <w:tcW w:type="dxa" w:w="5800"/>
          </w:tcPr>
          <w:p>
            <w:r>
              <w:t xml:space="preserve">Operating cash flow negative/breakeven three years running (FY24 -Rs 10 Cr, FY25 -Rs 65 Cr, FY26 -Rs 2 Cr); working-capital days ~157; debtor days improved 261 -&gt; 139</w:t>
            </w:r>
          </w:p>
        </w:tc>
      </w:tr>
      <w:tr>
        <w:tc>
          <w:tcPr>
            <w:tcW w:type="dxa" w:w="3200"/>
            <w:shd w:fill="F2F2F2" w:val="clear"/>
          </w:tcPr>
          <w:p>
            <w:r>
              <w:rPr>
                <w:b/>
                <w:bCs/>
              </w:rPr>
              <w:t xml:space="preserve">Promoter holding / debt</w:t>
            </w:r>
          </w:p>
        </w:tc>
        <w:tc>
          <w:tcPr>
            <w:tcW w:type="dxa" w:w="5800"/>
          </w:tcPr>
          <w:p>
            <w:r>
              <w:t xml:space="preserve">~67.8% (stable, no pledge disclosed); total debt ~Rs 91 Cr; dividend payout ~3.5%</w:t>
            </w:r>
          </w:p>
        </w:tc>
      </w:tr>
      <w:tr>
        <w:tc>
          <w:tcPr>
            <w:tcW w:type="dxa" w:w="3200"/>
            <w:shd w:fill="F2F2F2" w:val="clear"/>
          </w:tcPr>
          <w:p>
            <w:r>
              <w:rPr>
                <w:b/>
                <w:bCs/>
              </w:rPr>
              <w:t xml:space="preserve">Stock P/E</w:t>
            </w:r>
          </w:p>
        </w:tc>
        <w:tc>
          <w:tcPr>
            <w:tcW w:type="dxa" w:w="5800"/>
          </w:tcPr>
          <w:p>
            <w:r>
              <w:t xml:space="preserve">~32x trailing</w:t>
            </w:r>
          </w:p>
        </w:tc>
      </w:tr>
    </w:tbl>
    <w:p>
      <w:pPr>
        <w:spacing w:after="100"/>
      </w:pPr>
    </w:p>
    <w:p>
      <w:pPr>
        <w:spacing w:after="120"/>
      </w:pPr>
      <w:r>
        <w:t xml:space="preserve">JNK India has a genuine revenue inflection - FY26 revenue up ~70% and Q1 FY27 up ~81% (though off a soft comparator), on the back of the Indian refinery/petrochem capex upcycle (BPCL Bina, Reliance, HPCL). The order book of ~Rs 1,801 Cr gives roughly two years of visibility. But the deep read materially revises the quality picture the earlier note painted: ROCE is ~17% and ROE ~12% (not the 45-53% previously stated - that was a FY22-23 pre-scale figure), operating cash flow has been negative or breakeven for three straight years on a working-capital-heavy EPC-style model, and the JNK Chemdist green-hydrogen JV is still running an operating loss. FY27 guidance has also been walked back to ~20-25% revenue growth (12-14% EBITDA margin) from the wider range cited earlier. At ~32x trailing the stock already embeds Dangote Phase 2 and non-heating diversification wins that are not yet in hand.</w:t>
      </w:r>
    </w:p>
    <w:p>
      <w:pPr>
        <w:pStyle w:val="Heading1"/>
        <w:spacing w:after="120" w:before="280"/>
      </w:pPr>
      <w:r>
        <w:t xml:space="preserve">Deep-Dive: Primary Documents (Annual Reports, Quarterly Results, Exchange Filings)</w:t>
      </w:r>
    </w:p>
    <w:p>
      <w:pPr>
        <w:spacing w:after="120"/>
      </w:pPr>
      <w:r>
        <w:rPr>
          <w:i/>
          <w:iCs/>
          <w:color w:val="666666"/>
          <w:sz w:val="18"/>
          <w:szCs w:val="18"/>
        </w:rPr>
        <w:t xml:space="preserve">Pass 1 — 2026-09-03. Built from the company's own filings (3 years of annual reports, ~4 quarters of results/concalls, and 6 months of BSE/NSE announcements), read via the web — a deeper layer than the forum-sentiment read below.</w:t>
      </w:r>
    </w:p>
    <w:p>
      <w:pPr>
        <w:spacing w:after="120"/>
      </w:pPr>
      <w:r>
        <w:rPr>
          <w:b/>
          <w:bCs/>
          <w:sz w:val="20"/>
          <w:szCs w:val="20"/>
        </w:rPr>
        <w:t xml:space="preserve">Sources reviewed this pass:</w:t>
      </w:r>
    </w:p>
    <w:p>
      <w:pPr>
        <w:pStyle w:val="ListParagraph"/>
        <w:numPr>
          <w:ilvl w:val="0"/>
          <w:numId w:val="1"/>
        </w:numPr>
        <w:spacing w:after="60"/>
      </w:pPr>
      <w:r>
        <w:t xml:space="preserve">screener.in FY22-FY26 financials + ratio history - ROCE/ROE trend, cash-flow, working-capital days, promoter holding</w:t>
      </w:r>
    </w:p>
    <w:p>
      <w:pPr>
        <w:pStyle w:val="ListParagraph"/>
        <w:numPr>
          <w:ilvl w:val="0"/>
          <w:numId w:val="1"/>
        </w:numPr>
        <w:spacing w:after="60"/>
      </w:pPr>
      <w:r>
        <w:t xml:space="preserve">Q1 FY27 results + earnings-call transcript (Aug 2026) + Q1 FY27 investor slides</w:t>
      </w:r>
    </w:p>
    <w:p>
      <w:pPr>
        <w:pStyle w:val="ListParagraph"/>
        <w:numPr>
          <w:ilvl w:val="0"/>
          <w:numId w:val="1"/>
        </w:numPr>
        <w:spacing w:after="60"/>
      </w:pPr>
      <w:r>
        <w:t xml:space="preserve">Press / exchange coverage Mar-Aug 2026 - BPCL Bina award via JNK Global, ADNOC TA'ZIZ cancellation, Dangote Phase 2 commentary, FY26 results</w:t>
      </w:r>
    </w:p>
    <w:p>
      <w:pPr>
        <w:spacing w:after="120"/>
      </w:pPr>
      <w:r>
        <w:rPr>
          <w:b/>
          <w:bCs/>
          <w:sz w:val="20"/>
          <w:szCs w:val="20"/>
        </w:rPr>
        <w:t xml:space="preserve">Annual-report findings (3-year view):</w:t>
      </w:r>
    </w:p>
    <w:p>
      <w:pPr>
        <w:pStyle w:val="ListParagraph"/>
        <w:numPr>
          <w:ilvl w:val="0"/>
          <w:numId w:val="1"/>
        </w:numPr>
        <w:spacing w:after="60"/>
      </w:pPr>
      <w:r>
        <w:t xml:space="preserve">ROCE fell from 54% (FY22) / 46% (FY23) to 15% (FY24) / 18% (FY25) / ~17.5% (FY26) as the business scaled with IPO capital and heavy working capital - the earlier '45-53% ROCE' was a pre-scale figure</w:t>
      </w:r>
    </w:p>
    <w:p>
      <w:pPr>
        <w:pStyle w:val="ListParagraph"/>
        <w:numPr>
          <w:ilvl w:val="0"/>
          <w:numId w:val="1"/>
        </w:numPr>
        <w:spacing w:after="60"/>
      </w:pPr>
      <w:r>
        <w:t xml:space="preserve">Operating cash flow negative or breakeven three years running: FY24 -Rs 10 Cr, FY25 -Rs 65 Cr, FY26 -Rs 2 Cr; free cash flow negative each year</w:t>
      </w:r>
    </w:p>
    <w:p>
      <w:pPr>
        <w:pStyle w:val="ListParagraph"/>
        <w:numPr>
          <w:ilvl w:val="0"/>
          <w:numId w:val="1"/>
        </w:numPr>
        <w:spacing w:after="60"/>
      </w:pPr>
      <w:r>
        <w:t xml:space="preserve">Working-capital days ~157 (FY26); debtor days improved from 261 (FY25) to 139 (FY26), inventory days normalised to ~6</w:t>
      </w:r>
    </w:p>
    <w:p>
      <w:pPr>
        <w:pStyle w:val="ListParagraph"/>
        <w:numPr>
          <w:ilvl w:val="0"/>
          <w:numId w:val="1"/>
        </w:numPr>
        <w:spacing w:after="60"/>
      </w:pPr>
      <w:r>
        <w:t xml:space="preserve">FY26 revenue Rs 819-838 Cr (+68-72%), PAT ~Rs 65 Cr (+115%), EBITDA margin only ~11%; FY25 revenue had been flat vs FY24</w:t>
      </w:r>
    </w:p>
    <w:p>
      <w:pPr>
        <w:pStyle w:val="ListParagraph"/>
        <w:numPr>
          <w:ilvl w:val="0"/>
          <w:numId w:val="1"/>
        </w:numPr>
        <w:spacing w:after="60"/>
      </w:pPr>
      <w:r>
        <w:t xml:space="preserve">Promoter holding stable ~67.8%, no pledge; dividend payout low (~3.5%); total debt ~Rs 91 Cr</w:t>
      </w:r>
    </w:p>
    <w:p>
      <w:pPr>
        <w:pStyle w:val="ListParagraph"/>
        <w:numPr>
          <w:ilvl w:val="0"/>
          <w:numId w:val="1"/>
        </w:numPr>
        <w:spacing w:after="60"/>
      </w:pPr>
      <w:r>
        <w:t xml:space="preserve">JNK Chemdist JV (green H2 / ethyl-acetate route + SAF) formed Aug 2025, ~7-9% of group revenue in year one, still loss-making</w:t>
      </w:r>
    </w:p>
    <w:p>
      <w:pPr>
        <w:spacing w:after="120"/>
      </w:pPr>
      <w:r>
        <w:rPr>
          <w:b/>
          <w:bCs/>
          <w:sz w:val="20"/>
          <w:szCs w:val="20"/>
        </w:rPr>
        <w:t xml:space="preserve">Quarterly trend (last ~4 quarters + concall commentary):</w:t>
      </w:r>
    </w:p>
    <w:p>
      <w:pPr>
        <w:pStyle w:val="ListParagraph"/>
        <w:numPr>
          <w:ilvl w:val="0"/>
          <w:numId w:val="1"/>
        </w:numPr>
        <w:spacing w:after="60"/>
      </w:pPr>
      <w:r>
        <w:t xml:space="preserve">Q1 FY27 consolidated revenue Rs 186 Cr (+80.6% YoY) but off a very soft Q1 FY26 (Rs 99 Cr revenue, Rs 1.1 Cr PAT); H1 is only ~35-40% of the year</w:t>
      </w:r>
    </w:p>
    <w:p>
      <w:pPr>
        <w:pStyle w:val="ListParagraph"/>
        <w:numPr>
          <w:ilvl w:val="0"/>
          <w:numId w:val="1"/>
        </w:numPr>
        <w:spacing w:after="60"/>
      </w:pPr>
      <w:r>
        <w:t xml:space="preserve">Q1 FY27 EBITDA Rs 21.9 Cr (11.8% margin vs 7% YoY, 3.1x), PAT Rs 9.6 Cr (8.5x); standalone EBITDA margin ~14%</w:t>
      </w:r>
    </w:p>
    <w:p>
      <w:pPr>
        <w:pStyle w:val="ListParagraph"/>
        <w:numPr>
          <w:ilvl w:val="0"/>
          <w:numId w:val="1"/>
        </w:numPr>
        <w:spacing w:after="60"/>
      </w:pPr>
      <w:r>
        <w:t xml:space="preserve">JNK Chemdist contributed 8.8% of Q1 FY27 group revenue but posted a Rs 3.6 Cr operating loss; breakeven targeted by FY27-end</w:t>
      </w:r>
    </w:p>
    <w:p>
      <w:pPr>
        <w:pStyle w:val="ListParagraph"/>
        <w:numPr>
          <w:ilvl w:val="0"/>
          <w:numId w:val="1"/>
        </w:numPr>
        <w:spacing w:after="60"/>
      </w:pPr>
      <w:r>
        <w:t xml:space="preserve">FY26 quarterly PAT ramp: Q1 Rs 1.1 Cr -&gt; Q2 Rs 13 Cr -&gt; Q3 Rs 17.6 Cr -&gt; Q4 Rs 33 Cr - steep H2 weighting</w:t>
      </w:r>
    </w:p>
    <w:p>
      <w:pPr>
        <w:pStyle w:val="ListParagraph"/>
        <w:numPr>
          <w:ilvl w:val="0"/>
          <w:numId w:val="1"/>
        </w:numPr>
        <w:spacing w:after="60"/>
      </w:pPr>
      <w:r>
        <w:t xml:space="preserve">Management tone optimistic on demand/visibility but disciplined on new-segment pace; acknowledged the ADNOC cancellation as 'exceptional and rare'</w:t>
      </w:r>
    </w:p>
    <w:p>
      <w:pPr>
        <w:spacing w:after="120"/>
      </w:pPr>
      <w:r>
        <w:rPr>
          <w:b/>
          <w:bCs/>
          <w:sz w:val="20"/>
          <w:szCs w:val="20"/>
        </w:rPr>
        <w:t xml:space="preserve">Exchange announcements (last 6 months):</w:t>
      </w:r>
    </w:p>
    <w:p>
      <w:pPr>
        <w:pStyle w:val="ListParagraph"/>
        <w:numPr>
          <w:ilvl w:val="0"/>
          <w:numId w:val="1"/>
        </w:numPr>
        <w:spacing w:after="60"/>
      </w:pPr>
      <w:r>
        <w:t xml:space="preserve">Mar-2026: BPCL Bina cracking-furnace package - JNK Global won the ~Rs 2,600 Cr overall contract; JNK India received ~Rs 1,050 Cr from JNK Global, under execution, revenue FY27-FY28</w:t>
      </w:r>
    </w:p>
    <w:p>
      <w:pPr>
        <w:pStyle w:val="ListParagraph"/>
        <w:numPr>
          <w:ilvl w:val="0"/>
          <w:numId w:val="1"/>
        </w:numPr>
        <w:spacing w:after="60"/>
      </w:pPr>
      <w:r>
        <w:t xml:space="preserve">8-Jun-2026: large export order (CC7 Emirates / ADNOC TA'ZIZ incinerator package) - subsequently cancelled June 2026 on process-licensor technical-approval failure; no material cash loss</w:t>
      </w:r>
    </w:p>
    <w:p>
      <w:pPr>
        <w:pStyle w:val="ListParagraph"/>
        <w:numPr>
          <w:ilvl w:val="0"/>
          <w:numId w:val="1"/>
        </w:numPr>
        <w:spacing w:after="60"/>
      </w:pPr>
      <w:r>
        <w:t xml:space="preserve">Aug-2026 read-through: JNK Global won a Rs 1,713 Cr Nigeria/Dangote heater package - supports JNK India participation in Dangote Refinery Phase 2 (not yet awarded)</w:t>
      </w:r>
    </w:p>
    <w:p>
      <w:pPr>
        <w:pStyle w:val="ListParagraph"/>
        <w:numPr>
          <w:ilvl w:val="0"/>
          <w:numId w:val="1"/>
        </w:numPr>
        <w:spacing w:after="60"/>
      </w:pPr>
      <w:r>
        <w:t xml:space="preserve">Q1 FY27 concall: FY27 guidance reaffirmed at 20-25% revenue growth, 12-14% EBITDA margin; non-heating target ~40% of revenue in 3-5 years</w:t>
      </w:r>
    </w:p>
    <w:p>
      <w:pPr>
        <w:pStyle w:val="ListParagraph"/>
        <w:numPr>
          <w:ilvl w:val="0"/>
          <w:numId w:val="1"/>
        </w:numPr>
        <w:spacing w:after="60"/>
      </w:pPr>
      <w:r>
        <w:t xml:space="preserve">No rating action, QIP or litigation of note in the window</w:t>
      </w:r>
    </w:p>
    <w:p>
      <w:pPr>
        <w:spacing w:after="120"/>
      </w:pPr>
      <w:r>
        <w:rPr>
          <w:b/>
          <w:bCs/>
          <w:sz w:val="20"/>
          <w:szCs w:val="20"/>
        </w:rPr>
        <w:t xml:space="preserve">Key new facts vs. the prior write-up:</w:t>
      </w:r>
    </w:p>
    <w:p>
      <w:pPr>
        <w:pStyle w:val="ListParagraph"/>
        <w:numPr>
          <w:ilvl w:val="0"/>
          <w:numId w:val="1"/>
        </w:numPr>
        <w:spacing w:after="60"/>
      </w:pPr>
      <w:r>
        <w:t xml:space="preserve">ROCE/ROE are ~17%/~12%, not the 45-53%/45% in the prior write-up - the capital-efficiency pillar of the bull case is substantially weaker</w:t>
      </w:r>
    </w:p>
    <w:p>
      <w:pPr>
        <w:pStyle w:val="ListParagraph"/>
        <w:numPr>
          <w:ilvl w:val="0"/>
          <w:numId w:val="1"/>
        </w:numPr>
        <w:spacing w:after="60"/>
      </w:pPr>
      <w:r>
        <w:t xml:space="preserve">Operating cash flow has been negative or breakeven for three consecutive years (FY24-FY26) - a working-capital-heavy, cash-poor model</w:t>
      </w:r>
    </w:p>
    <w:p>
      <w:pPr>
        <w:pStyle w:val="ListParagraph"/>
        <w:numPr>
          <w:ilvl w:val="0"/>
          <w:numId w:val="1"/>
        </w:numPr>
        <w:spacing w:after="60"/>
      </w:pPr>
      <w:r>
        <w:t xml:space="preserve">FY27 revenue-growth guidance is ~20-25% (reaffirmed), below the 25-60% range the earlier note cited and below the trusted user's 30-35% expectation</w:t>
      </w:r>
    </w:p>
    <w:p>
      <w:pPr>
        <w:pStyle w:val="ListParagraph"/>
        <w:numPr>
          <w:ilvl w:val="0"/>
          <w:numId w:val="1"/>
        </w:numPr>
        <w:spacing w:after="60"/>
      </w:pPr>
      <w:r>
        <w:t xml:space="preserve">JNK Chemdist JV is loss-making (Rs 3.6 Cr operating loss in Q1 FY27) and pre-breakeven</w:t>
      </w:r>
    </w:p>
    <w:p>
      <w:pPr>
        <w:pStyle w:val="ListParagraph"/>
        <w:numPr>
          <w:ilvl w:val="0"/>
          <w:numId w:val="1"/>
        </w:numPr>
        <w:spacing w:after="60"/>
      </w:pPr>
      <w:r>
        <w:t xml:space="preserve">The JNK Global cooperation agreement is not yet formally renewed and JNK Global has internal board disputes, while RPT order flow via JNK Global is large and rising</w:t>
      </w:r>
    </w:p>
    <w:p>
      <w:pPr>
        <w:spacing w:after="120"/>
      </w:pPr>
      <w:r>
        <w:rPr>
          <w:b/>
          <w:bCs/>
          <w:sz w:val="20"/>
          <w:szCs w:val="20"/>
        </w:rPr>
        <w:t xml:space="preserve">Open questions / what to watch:</w:t>
      </w:r>
    </w:p>
    <w:p>
      <w:pPr>
        <w:pStyle w:val="ListParagraph"/>
        <w:numPr>
          <w:ilvl w:val="0"/>
          <w:numId w:val="1"/>
        </w:numPr>
        <w:spacing w:after="60"/>
      </w:pPr>
      <w:r>
        <w:t xml:space="preserve">Does operating cash flow turn durably positive as debtor days keep improving, or does each large new contract swing working capital negative again?</w:t>
      </w:r>
    </w:p>
    <w:p>
      <w:pPr>
        <w:pStyle w:val="ListParagraph"/>
        <w:numPr>
          <w:ilvl w:val="0"/>
          <w:numId w:val="1"/>
        </w:numPr>
        <w:spacing w:after="60"/>
      </w:pPr>
      <w:r>
        <w:t xml:space="preserve">Will the JNK Global cooperation agreement be formally renewed on the same terms, and how exposed is the export book to JNK Global's board disputes?</w:t>
      </w:r>
    </w:p>
    <w:p>
      <w:pPr>
        <w:pStyle w:val="ListParagraph"/>
        <w:numPr>
          <w:ilvl w:val="0"/>
          <w:numId w:val="1"/>
        </w:numPr>
        <w:spacing w:after="60"/>
      </w:pPr>
      <w:r>
        <w:t xml:space="preserve">Is Dangote Phase 2 actually awarded to JNK, and when - the ~32x multiple appears to need it</w:t>
      </w:r>
    </w:p>
    <w:p>
      <w:pPr>
        <w:pStyle w:val="ListParagraph"/>
        <w:numPr>
          <w:ilvl w:val="0"/>
          <w:numId w:val="1"/>
        </w:numPr>
        <w:spacing w:after="60"/>
      </w:pPr>
      <w:r>
        <w:t xml:space="preserve">Can the non-heating segments reach ~40% of revenue, and at what margin, given no execution track record there?</w:t>
      </w:r>
    </w:p>
    <w:p>
      <w:pPr>
        <w:spacing w:after="120" w:before="120"/>
      </w:pPr>
      <w:r>
        <w:rPr>
          <w:b/>
          <w:bCs/>
          <w:sz w:val="20"/>
          <w:szCs w:val="20"/>
        </w:rPr>
        <w:t xml:space="preserve">Conviction impact: </w:t>
      </w:r>
      <w:r>
        <w:rPr>
          <w:sz w:val="20"/>
          <w:szCs w:val="20"/>
        </w:rPr>
        <w:t xml:space="preserve">Medium-High -&gt; Medium. The order book and revenue inflection are real, but the deep read reappraises ROCE down to ~17% (from an assumed ~53%), confirms three years of negative-to-breakeven operating cash flow, a loss-making Chemdist JV, guidance walked back to 20-25%, and rising un-renewed related-party dependence on JNK Global. Thesis fit cut to 'neither' - base case is a 2-4x, not a 10x-in-2-3-years.</w:t>
      </w:r>
    </w:p>
    <w:p>
      <w:pPr>
        <w:pStyle w:val="Heading1"/>
        <w:spacing w:after="120" w:before="280"/>
      </w:pPr>
      <w:r>
        <w:t xml:space="preserve">Guidance &amp; Expectation Gap</w:t>
      </w:r>
    </w:p>
    <w:p>
      <w:pPr>
        <w:spacing w:after="120"/>
      </w:pPr>
      <w:r>
        <w:rPr>
          <w:i/>
          <w:iCs/>
          <w:color w:val="666666"/>
          <w:sz w:val="18"/>
          <w:szCs w:val="18"/>
        </w:rPr>
        <w:t xml:space="preserve">Management guidance decoded into commitments, graded on the expectation → action → operational → commercial → financial ladder, then compared to what the current price appears to assume. Method: playbook/guidance-and-expectation-gap.md.</w:t>
      </w:r>
    </w:p>
    <w:p>
      <w:pPr>
        <w:spacing w:after="120"/>
      </w:pPr>
      <w:r>
        <w:rPr>
          <w:b/>
          <w:bCs/>
          <w:sz w:val="20"/>
          <w:szCs w:val="20"/>
        </w:rPr>
        <w:t xml:space="preserve">Commitment ladder (most-proven first):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2400"/>
        <w:gridCol w:w="900"/>
        <w:gridCol w:w="1200"/>
        <w:gridCol w:w="800"/>
      </w:tblGrid>
      <w:tr>
        <w:trPr>
          <w:tblHeader/>
        </w:trPr>
        <w:tc>
          <w:tcPr>
            <w:tcW w:type="dxa" w:w="1100"/>
            <w:shd w:fill="F2F2F2" w:val="clear"/>
          </w:tcPr>
          <w:p>
            <w:r>
              <w:rPr>
                <w:b/>
                <w:bCs/>
                <w:sz w:val="18"/>
                <w:szCs w:val="18"/>
              </w:rPr>
              <w:t xml:space="preserve">Area</w:t>
            </w:r>
          </w:p>
        </w:tc>
        <w:tc>
          <w:tcPr>
            <w:tcW w:type="dxa" w:w="2600"/>
            <w:shd w:fill="F2F2F2" w:val="clear"/>
          </w:tcPr>
          <w:p>
            <w:r>
              <w:rPr>
                <w:b/>
                <w:bCs/>
                <w:sz w:val="18"/>
                <w:szCs w:val="18"/>
              </w:rPr>
              <w:t xml:space="preserve">Commitment</w:t>
            </w:r>
          </w:p>
        </w:tc>
        <w:tc>
          <w:tcPr>
            <w:tcW w:type="dxa" w:w="2400"/>
            <w:shd w:fill="F2F2F2" w:val="clear"/>
          </w:tcPr>
          <w:p>
            <w:r>
              <w:rPr>
                <w:b/>
                <w:bCs/>
                <w:sz w:val="18"/>
                <w:szCs w:val="18"/>
              </w:rPr>
              <w:t xml:space="preserve">Specifics</w:t>
            </w:r>
          </w:p>
        </w:tc>
        <w:tc>
          <w:tcPr>
            <w:tcW w:type="dxa" w:w="900"/>
            <w:shd w:fill="F2F2F2" w:val="clear"/>
          </w:tcPr>
          <w:p>
            <w:r>
              <w:rPr>
                <w:b/>
                <w:bCs/>
                <w:sz w:val="18"/>
                <w:szCs w:val="18"/>
              </w:rPr>
              <w:t xml:space="preserve">By when</w:t>
            </w:r>
          </w:p>
        </w:tc>
        <w:tc>
          <w:tcPr>
            <w:tcW w:type="dxa" w:w="1200"/>
            <w:shd w:fill="F2F2F2" w:val="clear"/>
          </w:tcPr>
          <w:p>
            <w:r>
              <w:rPr>
                <w:b/>
                <w:bCs/>
                <w:sz w:val="18"/>
                <w:szCs w:val="18"/>
              </w:rPr>
              <w:t xml:space="preserve">Stage</w:t>
            </w:r>
          </w:p>
        </w:tc>
        <w:tc>
          <w:tcPr>
            <w:tcW w:type="dxa" w:w="800"/>
            <w:shd w:fill="F2F2F2" w:val="clear"/>
          </w:tcPr>
          <w:p>
            <w:r>
              <w:rPr>
                <w:b/>
                <w:bCs/>
                <w:sz w:val="18"/>
                <w:szCs w:val="18"/>
              </w:rPr>
              <w:t xml:space="preserve">Thesis-critical</w:t>
            </w:r>
          </w:p>
        </w:tc>
      </w:tr>
      <w:tr>
        <w:tc>
          <w:tcPr>
            <w:tcW w:type="dxa" w:w="1100"/>
          </w:tcPr>
          <w:p>
            <w:r>
              <w:rPr>
                <w:b w:val="false"/>
                <w:bCs w:val="false"/>
                <w:sz w:val="18"/>
                <w:szCs w:val="18"/>
              </w:rPr>
              <w:t xml:space="preserve">growth</w:t>
            </w:r>
          </w:p>
        </w:tc>
        <w:tc>
          <w:tcPr>
            <w:tcW w:type="dxa" w:w="2600"/>
          </w:tcPr>
          <w:p>
            <w:r>
              <w:rPr>
                <w:b w:val="false"/>
                <w:bCs w:val="false"/>
                <w:sz w:val="18"/>
                <w:szCs w:val="18"/>
              </w:rPr>
              <w:t xml:space="preserve">FY27 consolidated revenue growth ~20-25% off the existing order book</w:t>
            </w:r>
          </w:p>
        </w:tc>
        <w:tc>
          <w:tcPr>
            <w:tcW w:type="dxa" w:w="2400"/>
          </w:tcPr>
          <w:p>
            <w:r>
              <w:rPr>
                <w:b w:val="false"/>
                <w:bCs w:val="false"/>
                <w:sz w:val="18"/>
                <w:szCs w:val="18"/>
              </w:rPr>
              <w:t xml:space="preserve">20-25% YoY; FY26 base ~Rs 819-838 Cr; H2-weighted (60-65%)</w:t>
            </w:r>
          </w:p>
        </w:tc>
        <w:tc>
          <w:tcPr>
            <w:tcW w:type="dxa" w:w="900"/>
          </w:tcPr>
          <w:p>
            <w:r>
              <w:rPr>
                <w:b w:val="false"/>
                <w:bCs w:val="false"/>
                <w:sz w:val="18"/>
                <w:szCs w:val="18"/>
              </w:rPr>
              <w:t xml:space="preserve">FY27</w:t>
            </w:r>
          </w:p>
        </w:tc>
        <w:tc>
          <w:tcPr>
            <w:tcW w:type="dxa" w:w="1200"/>
          </w:tcPr>
          <w:p>
            <w:r>
              <w:rPr>
                <w:b w:val="false"/>
                <w:bCs w:val="false"/>
                <w:sz w:val="18"/>
                <w:szCs w:val="18"/>
              </w:rPr>
              <w:t xml:space="preserve">expectation</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margin</w:t>
            </w:r>
          </w:p>
        </w:tc>
        <w:tc>
          <w:tcPr>
            <w:tcW w:type="dxa" w:w="2600"/>
          </w:tcPr>
          <w:p>
            <w:r>
              <w:rPr>
                <w:b w:val="false"/>
                <w:bCs w:val="false"/>
                <w:sz w:val="18"/>
                <w:szCs w:val="18"/>
              </w:rPr>
              <w:t xml:space="preserve">Full-year consolidated EBITDA margin 12-14% (standalone ~14%)</w:t>
            </w:r>
          </w:p>
        </w:tc>
        <w:tc>
          <w:tcPr>
            <w:tcW w:type="dxa" w:w="2400"/>
          </w:tcPr>
          <w:p>
            <w:r>
              <w:rPr>
                <w:b w:val="false"/>
                <w:bCs w:val="false"/>
                <w:sz w:val="18"/>
                <w:szCs w:val="18"/>
              </w:rPr>
              <w:t xml:space="preserve">12-14% consol; Q1 FY27 was 11.8%</w:t>
            </w:r>
          </w:p>
        </w:tc>
        <w:tc>
          <w:tcPr>
            <w:tcW w:type="dxa" w:w="900"/>
          </w:tcPr>
          <w:p>
            <w:r>
              <w:rPr>
                <w:b w:val="false"/>
                <w:bCs w:val="false"/>
                <w:sz w:val="18"/>
                <w:szCs w:val="18"/>
              </w:rPr>
              <w:t xml:space="preserve">FY27</w:t>
            </w:r>
          </w:p>
        </w:tc>
        <w:tc>
          <w:tcPr>
            <w:tcW w:type="dxa" w:w="1200"/>
          </w:tcPr>
          <w:p>
            <w:r>
              <w:rPr>
                <w:b w:val="false"/>
                <w:bCs w:val="false"/>
                <w:sz w:val="18"/>
                <w:szCs w:val="18"/>
              </w:rPr>
              <w:t xml:space="preserve">expectation</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orders</w:t>
            </w:r>
          </w:p>
        </w:tc>
        <w:tc>
          <w:tcPr>
            <w:tcW w:type="dxa" w:w="2600"/>
          </w:tcPr>
          <w:p>
            <w:r>
              <w:rPr>
                <w:b w:val="false"/>
                <w:bCs w:val="false"/>
                <w:sz w:val="18"/>
                <w:szCs w:val="18"/>
              </w:rPr>
              <w:t xml:space="preserve">Order inflow Rs 1,200-1,500 Cr/yr from a &gt;Rs 6,000 Cr bid pipeline</w:t>
            </w:r>
          </w:p>
        </w:tc>
        <w:tc>
          <w:tcPr>
            <w:tcW w:type="dxa" w:w="2400"/>
          </w:tcPr>
          <w:p>
            <w:r>
              <w:rPr>
                <w:b w:val="false"/>
                <w:bCs w:val="false"/>
                <w:sz w:val="18"/>
                <w:szCs w:val="18"/>
              </w:rPr>
              <w:t xml:space="preserve">export heating ~Rs 3,000 Cr @ 20-25% hit rate; domestic non-heating ~Rs 3,000 Cr @ 10-12%; OB Rs 1,801 Cr at Jun-26</w:t>
            </w:r>
          </w:p>
        </w:tc>
        <w:tc>
          <w:tcPr>
            <w:tcW w:type="dxa" w:w="900"/>
          </w:tcPr>
          <w:p>
            <w:r>
              <w:rPr>
                <w:b w:val="false"/>
                <w:bCs w:val="false"/>
                <w:sz w:val="18"/>
                <w:szCs w:val="18"/>
              </w:rPr>
              <w:t xml:space="preserve">FY27</w:t>
            </w:r>
          </w:p>
        </w:tc>
        <w:tc>
          <w:tcPr>
            <w:tcW w:type="dxa" w:w="1200"/>
          </w:tcPr>
          <w:p>
            <w:r>
              <w:rPr>
                <w:b w:val="false"/>
                <w:bCs w:val="false"/>
                <w:sz w:val="18"/>
                <w:szCs w:val="18"/>
              </w:rPr>
              <w:t xml:space="preserve">expectation</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orders</w:t>
            </w:r>
          </w:p>
        </w:tc>
        <w:tc>
          <w:tcPr>
            <w:tcW w:type="dxa" w:w="2600"/>
          </w:tcPr>
          <w:p>
            <w:r>
              <w:rPr>
                <w:b w:val="false"/>
                <w:bCs w:val="false"/>
                <w:sz w:val="18"/>
                <w:szCs w:val="18"/>
              </w:rPr>
              <w:t xml:space="preserve">Dangote Refinery Phase 2 repeat order (was supplier for Phase 1)</w:t>
            </w:r>
          </w:p>
        </w:tc>
        <w:tc>
          <w:tcPr>
            <w:tcW w:type="dxa" w:w="2400"/>
          </w:tcPr>
          <w:p>
            <w:r>
              <w:rPr>
                <w:b w:val="false"/>
                <w:bCs w:val="false"/>
                <w:sz w:val="18"/>
                <w:szCs w:val="18"/>
              </w:rPr>
              <w:t xml:space="preserve">'under discussion', good repeat-order probability; ~Rs 2,000-2,500 Cr potential TAM; NOT won</w:t>
            </w:r>
          </w:p>
        </w:tc>
        <w:tc>
          <w:tcPr>
            <w:tcW w:type="dxa" w:w="900"/>
          </w:tcPr>
          <w:p>
            <w:r>
              <w:rPr>
                <w:b w:val="false"/>
                <w:bCs w:val="false"/>
                <w:sz w:val="18"/>
                <w:szCs w:val="18"/>
              </w:rPr>
              <w:t xml:space="preserve">FY27</w:t>
            </w:r>
          </w:p>
        </w:tc>
        <w:tc>
          <w:tcPr>
            <w:tcW w:type="dxa" w:w="1200"/>
          </w:tcPr>
          <w:p>
            <w:r>
              <w:rPr>
                <w:b w:val="false"/>
                <w:bCs w:val="false"/>
                <w:sz w:val="18"/>
                <w:szCs w:val="18"/>
              </w:rPr>
              <w:t xml:space="preserve">expectation</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new_business</w:t>
            </w:r>
          </w:p>
        </w:tc>
        <w:tc>
          <w:tcPr>
            <w:tcW w:type="dxa" w:w="2600"/>
          </w:tcPr>
          <w:p>
            <w:r>
              <w:rPr>
                <w:b w:val="false"/>
                <w:bCs w:val="false"/>
                <w:sz w:val="18"/>
                <w:szCs w:val="18"/>
              </w:rPr>
              <w:t xml:space="preserve">JNK Chemdist (green hydrogen via ethyl-acetate route + SAF) to breakeven by FY27-end, 10-15% of revenue FY27+</w:t>
            </w:r>
          </w:p>
        </w:tc>
        <w:tc>
          <w:tcPr>
            <w:tcW w:type="dxa" w:w="2400"/>
          </w:tcPr>
          <w:p>
            <w:r>
              <w:rPr>
                <w:b w:val="false"/>
                <w:bCs w:val="false"/>
                <w:sz w:val="18"/>
                <w:szCs w:val="18"/>
              </w:rPr>
              <w:t xml:space="preserve">Q1 FY27: 8.8% of revenue, Rs 3.6 Cr operating loss; Rs 50 Cr green-H2 project executing mostly in FY27</w:t>
            </w:r>
          </w:p>
        </w:tc>
        <w:tc>
          <w:tcPr>
            <w:tcW w:type="dxa" w:w="900"/>
          </w:tcPr>
          <w:p>
            <w:r>
              <w:rPr>
                <w:b w:val="false"/>
                <w:bCs w:val="false"/>
                <w:sz w:val="18"/>
                <w:szCs w:val="18"/>
              </w:rPr>
              <w:t xml:space="preserve">FY27</w:t>
            </w:r>
          </w:p>
        </w:tc>
        <w:tc>
          <w:tcPr>
            <w:tcW w:type="dxa" w:w="1200"/>
          </w:tcPr>
          <w:p>
            <w:r>
              <w:rPr>
                <w:b w:val="false"/>
                <w:bCs w:val="false"/>
                <w:sz w:val="18"/>
                <w:szCs w:val="18"/>
              </w:rPr>
              <w:t xml:space="preserve">commercial</w:t>
            </w:r>
          </w:p>
        </w:tc>
        <w:tc>
          <w:tcPr>
            <w:tcW w:type="dxa" w:w="800"/>
          </w:tcPr>
          <w:p>
            <w:r>
              <w:rPr>
                <w:b w:val="false"/>
                <w:bCs w:val="false"/>
                <w:sz w:val="18"/>
                <w:szCs w:val="18"/>
              </w:rPr>
              <w:t xml:space="preserve"/>
            </w:r>
          </w:p>
        </w:tc>
      </w:tr>
      <w:tr>
        <w:tc>
          <w:tcPr>
            <w:tcW w:type="dxa" w:w="1100"/>
          </w:tcPr>
          <w:p>
            <w:r>
              <w:rPr>
                <w:b w:val="false"/>
                <w:bCs w:val="false"/>
                <w:sz w:val="18"/>
                <w:szCs w:val="18"/>
              </w:rPr>
              <w:t xml:space="preserve">strategy</w:t>
            </w:r>
          </w:p>
        </w:tc>
        <w:tc>
          <w:tcPr>
            <w:tcW w:type="dxa" w:w="2600"/>
          </w:tcPr>
          <w:p>
            <w:r>
              <w:rPr>
                <w:b w:val="false"/>
                <w:bCs w:val="false"/>
                <w:sz w:val="18"/>
                <w:szCs w:val="18"/>
              </w:rPr>
              <w:t xml:space="preserve">Non-heating segments (metals/minerals, offshore, renewables, process plants) to reach ~40% of revenue in 3-5 years</w:t>
            </w:r>
          </w:p>
        </w:tc>
        <w:tc>
          <w:tcPr>
            <w:tcW w:type="dxa" w:w="2400"/>
          </w:tcPr>
          <w:p>
            <w:r>
              <w:rPr>
                <w:b w:val="false"/>
                <w:bCs w:val="false"/>
                <w:sz w:val="18"/>
                <w:szCs w:val="18"/>
              </w:rPr>
              <w:t xml:space="preserve">from a currently heating-led mix</w:t>
            </w:r>
          </w:p>
        </w:tc>
        <w:tc>
          <w:tcPr>
            <w:tcW w:type="dxa" w:w="900"/>
          </w:tcPr>
          <w:p>
            <w:r>
              <w:rPr>
                <w:b w:val="false"/>
                <w:bCs w:val="false"/>
                <w:sz w:val="18"/>
                <w:szCs w:val="18"/>
              </w:rPr>
              <w:t xml:space="preserve">beyond</w:t>
            </w:r>
          </w:p>
        </w:tc>
        <w:tc>
          <w:tcPr>
            <w:tcW w:type="dxa" w:w="1200"/>
          </w:tcPr>
          <w:p>
            <w:r>
              <w:rPr>
                <w:b w:val="false"/>
                <w:bCs w:val="false"/>
                <w:sz w:val="18"/>
                <w:szCs w:val="18"/>
              </w:rPr>
              <w:t xml:space="preserve">action</w:t>
            </w:r>
          </w:p>
        </w:tc>
        <w:tc>
          <w:tcPr>
            <w:tcW w:type="dxa" w:w="800"/>
          </w:tcPr>
          <w:p>
            <w:r>
              <w:rPr>
                <w:b w:val="false"/>
                <w:bCs w:val="false"/>
                <w:sz w:val="18"/>
                <w:szCs w:val="18"/>
              </w:rPr>
              <w:t xml:space="preserve"/>
            </w:r>
          </w:p>
        </w:tc>
      </w:tr>
      <w:tr>
        <w:tc>
          <w:tcPr>
            <w:tcW w:type="dxa" w:w="1100"/>
          </w:tcPr>
          <w:p>
            <w:r>
              <w:rPr>
                <w:b w:val="false"/>
                <w:bCs w:val="false"/>
                <w:sz w:val="18"/>
                <w:szCs w:val="18"/>
              </w:rPr>
              <w:t xml:space="preserve">balance_sheet</w:t>
            </w:r>
          </w:p>
        </w:tc>
        <w:tc>
          <w:tcPr>
            <w:tcW w:type="dxa" w:w="2600"/>
          </w:tcPr>
          <w:p>
            <w:r>
              <w:rPr>
                <w:b w:val="false"/>
                <w:bCs w:val="false"/>
                <w:sz w:val="18"/>
                <w:szCs w:val="18"/>
              </w:rPr>
              <w:t xml:space="preserve">Fund 20-25% growth without significant debt raising; favourable payment terms from Reliance/BPCL; JNK Global provides export bank guarantees</w:t>
            </w:r>
          </w:p>
        </w:tc>
        <w:tc>
          <w:tcPr>
            <w:tcW w:type="dxa" w:w="2400"/>
          </w:tcPr>
          <w:p>
            <w:r>
              <w:rPr>
                <w:b w:val="false"/>
                <w:bCs w:val="false"/>
                <w:sz w:val="18"/>
                <w:szCs w:val="18"/>
              </w:rPr>
              <w:t xml:space="preserve">total debt Rs 91 Cr (Mar-26); unbilled revenue Rs 200-221 Cr</w:t>
            </w:r>
          </w:p>
        </w:tc>
        <w:tc>
          <w:tcPr>
            <w:tcW w:type="dxa" w:w="900"/>
          </w:tcPr>
          <w:p>
            <w:r>
              <w:rPr>
                <w:b w:val="false"/>
                <w:bCs w:val="false"/>
                <w:sz w:val="18"/>
                <w:szCs w:val="18"/>
              </w:rPr>
              <w:t xml:space="preserve">FY27</w:t>
            </w:r>
          </w:p>
        </w:tc>
        <w:tc>
          <w:tcPr>
            <w:tcW w:type="dxa" w:w="1200"/>
          </w:tcPr>
          <w:p>
            <w:r>
              <w:rPr>
                <w:b w:val="false"/>
                <w:bCs w:val="false"/>
                <w:sz w:val="18"/>
                <w:szCs w:val="18"/>
              </w:rPr>
              <w:t xml:space="preserve">action</w:t>
            </w:r>
          </w:p>
        </w:tc>
        <w:tc>
          <w:tcPr>
            <w:tcW w:type="dxa" w:w="800"/>
          </w:tcPr>
          <w:p>
            <w:r>
              <w:rPr>
                <w:b w:val="false"/>
                <w:bCs w:val="false"/>
                <w:sz w:val="18"/>
                <w:szCs w:val="18"/>
              </w:rPr>
              <w:t xml:space="preserve"/>
            </w:r>
          </w:p>
        </w:tc>
      </w:tr>
    </w:tbl>
    <w:p>
      <w:pPr>
        <w:spacing w:after="60" w:before="120"/>
      </w:pPr>
      <w:r>
        <w:rPr>
          <w:b/>
          <w:bCs/>
          <w:sz w:val="20"/>
          <w:szCs w:val="20"/>
        </w:rPr>
        <w:t xml:space="preserve">Earnings chain: </w:t>
      </w:r>
      <w:r>
        <w:rPr>
          <w:b w:val="false"/>
          <w:bCs w:val="false"/>
          <w:sz w:val="20"/>
          <w:szCs w:val="20"/>
        </w:rPr>
        <w:t xml:space="preserve">bid-pipeline conversion (&gt;Rs 6,000 Cr) into order inflow (Rs 1,200-1,500 Cr/yr)</w:t>
      </w:r>
      <w:r>
        <w:rPr>
          <w:color w:val="666666"/>
          <w:sz w:val="20"/>
          <w:szCs w:val="20"/>
        </w:rPr>
        <w:t xml:space="preserve"> → </w:t>
      </w:r>
      <w:r>
        <w:rPr>
          <w:b w:val="false"/>
          <w:bCs w:val="false"/>
          <w:sz w:val="20"/>
          <w:szCs w:val="20"/>
        </w:rPr>
        <w:t xml:space="preserve">order book Rs 1,801 Cr execution (H2-weighted)</w:t>
      </w:r>
      <w:r>
        <w:rPr>
          <w:color w:val="666666"/>
          <w:sz w:val="20"/>
          <w:szCs w:val="20"/>
        </w:rPr>
        <w:t xml:space="preserve"> → </w:t>
      </w:r>
      <w:r>
        <w:rPr>
          <w:b w:val="false"/>
          <w:bCs w:val="false"/>
          <w:sz w:val="20"/>
          <w:szCs w:val="20"/>
        </w:rPr>
        <w:t xml:space="preserve">revenue growth 20-25%</w:t>
      </w:r>
      <w:r>
        <w:rPr>
          <w:color w:val="666666"/>
          <w:sz w:val="20"/>
          <w:szCs w:val="20"/>
        </w:rPr>
        <w:t xml:space="preserve"> → </w:t>
      </w:r>
      <w:r>
        <w:rPr>
          <w:b w:val="false"/>
          <w:bCs w:val="false"/>
          <w:sz w:val="20"/>
          <w:szCs w:val="20"/>
        </w:rPr>
        <w:t xml:space="preserve">operating leverage + mix (standalone ~14% EBITDA)</w:t>
      </w:r>
      <w:r>
        <w:rPr>
          <w:color w:val="666666"/>
          <w:sz w:val="20"/>
          <w:szCs w:val="20"/>
        </w:rPr>
        <w:t xml:space="preserve"> → </w:t>
      </w:r>
      <w:r>
        <w:rPr>
          <w:b w:val="false"/>
          <w:bCs w:val="false"/>
          <w:sz w:val="20"/>
          <w:szCs w:val="20"/>
        </w:rPr>
        <w:t xml:space="preserve">Chemdist drag narrowing toward breakeven</w:t>
      </w:r>
      <w:r>
        <w:rPr>
          <w:color w:val="666666"/>
          <w:sz w:val="20"/>
          <w:szCs w:val="20"/>
        </w:rPr>
        <w:t xml:space="preserve"> → </w:t>
      </w:r>
      <w:r>
        <w:rPr>
          <w:b w:val="false"/>
          <w:bCs w:val="false"/>
          <w:sz w:val="20"/>
          <w:szCs w:val="20"/>
        </w:rPr>
        <w:t xml:space="preserve">consolidated EBITDA margin 12-14%</w:t>
      </w:r>
      <w:r>
        <w:rPr>
          <w:color w:val="666666"/>
          <w:sz w:val="20"/>
          <w:szCs w:val="20"/>
        </w:rPr>
        <w:t xml:space="preserve"> → </w:t>
      </w:r>
      <w:r>
        <w:rPr>
          <w:b w:val="false"/>
          <w:bCs w:val="false"/>
          <w:sz w:val="20"/>
          <w:szCs w:val="20"/>
        </w:rPr>
        <w:t xml:space="preserve">PAT - but weak cash conversion (working-capital days ~157, OCF near zero)</w:t>
      </w:r>
    </w:p>
    <w:p>
      <w:pPr>
        <w:spacing w:after="120"/>
      </w:pPr>
      <w:r>
        <w:rPr>
          <w:color w:val="666666"/>
          <w:sz w:val="18"/>
          <w:szCs w:val="18"/>
        </w:rPr>
        <w:t xml:space="preserve">Bottleneck link: bid-pipeline conversion into order inflow (lumpy award timing + export process-licensor approval risk).</w:t>
      </w:r>
    </w:p>
    <w:p>
      <w:pPr>
        <w:spacing w:after="120"/>
      </w:pPr>
      <w:r>
        <w:rPr>
          <w:color w:val="666666"/>
          <w:sz w:val="18"/>
          <w:szCs w:val="18"/>
        </w:rPr>
        <w:t xml:space="preserve">Operating leverage: yes - Q1 EBITDA margin 11.8% vs 7% YoY as fixed engineering costs absorb; but capped by Chemdist losses and lower-margin export back-to-back economics</w:t>
      </w:r>
    </w:p>
    <w:p>
      <w:pPr>
        <w:spacing w:after="120"/>
      </w:pPr>
      <w:r>
        <w:rPr>
          <w:color w:val="666666"/>
          <w:sz w:val="18"/>
          <w:szCs w:val="18"/>
        </w:rPr>
        <w:t xml:space="preserve">Evidenced: order book Rs 1,801 Cr execution (H2-weighted); revenue growth 20-25%; operating leverage + mix (standalone ~14% EBITDA). Still assumed: bid-pipeline conversion into order inflow (Rs 1,200-1,500 Cr/yr); Chemdist drag narrowing toward breakeven; consolidated EBITDA margin 12-14%; PAT with improving cash conversion.</w:t>
      </w:r>
    </w:p>
    <w:p>
      <w:pPr>
        <w:spacing w:after="120"/>
      </w:pPr>
      <w:r>
        <w:rPr>
          <w:b/>
          <w:bCs/>
          <w:sz w:val="20"/>
          <w:szCs w:val="20"/>
        </w:rPr>
        <w:t xml:space="preserve">Market expectation vs. our path: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 of</w:t>
            </w:r>
          </w:p>
        </w:tc>
        <w:tc>
          <w:tcPr>
            <w:tcW w:type="dxa" w:w="5800"/>
          </w:tcPr>
          <w:p>
            <w:r>
              <w:t xml:space="preserve">2026-09-03</w:t>
            </w:r>
          </w:p>
        </w:tc>
      </w:tr>
      <w:tr>
        <w:tc>
          <w:tcPr>
            <w:tcW w:type="dxa" w:w="3200"/>
            <w:shd w:fill="F2F2F2" w:val="clear"/>
          </w:tcPr>
          <w:p>
            <w:r>
              <w:rPr>
                <w:b/>
                <w:bCs/>
              </w:rPr>
              <w:t xml:space="preserve">Price / multiple</w:t>
            </w:r>
          </w:p>
        </w:tc>
        <w:tc>
          <w:tcPr>
            <w:tcW w:type="dxa" w:w="5800"/>
          </w:tcPr>
          <w:p>
            <w:r>
              <w:t xml:space="preserve">Rs 431 · 32.1x P/E · 22x EV/EBITDA</w:t>
            </w:r>
          </w:p>
        </w:tc>
      </w:tr>
      <w:tr>
        <w:tc>
          <w:tcPr>
            <w:tcW w:type="dxa" w:w="3200"/>
            <w:shd w:fill="F2F2F2" w:val="clear"/>
          </w:tcPr>
          <w:p>
            <w:r>
              <w:rPr>
                <w:b/>
                <w:bCs/>
              </w:rPr>
              <w:t xml:space="preserve">Right valuation lens</w:t>
            </w:r>
          </w:p>
        </w:tc>
        <w:tc>
          <w:tcPr>
            <w:tcW w:type="dxa" w:w="5800"/>
          </w:tcPr>
          <w:p>
            <w:r>
              <w:t xml:space="preserve">P/E</w:t>
            </w:r>
          </w:p>
        </w:tc>
      </w:tr>
      <w:tr>
        <w:tc>
          <w:tcPr>
            <w:tcW w:type="dxa" w:w="3200"/>
            <w:shd w:fill="F2F2F2" w:val="clear"/>
          </w:tcPr>
          <w:p>
            <w:r>
              <w:rPr>
                <w:b/>
                <w:bCs/>
              </w:rPr>
              <w:t xml:space="preserve">Price implies</w:t>
            </w:r>
          </w:p>
        </w:tc>
        <w:tc>
          <w:tcPr>
            <w:tcW w:type="dxa" w:w="5800"/>
          </w:tcPr>
          <w:p>
            <w:r>
              <w:t xml:space="preserve">~32x trailing on a ~12% ROE business with near-zero operating cash flow needs ~25-30% EPS CAGR FY26-FY28 at a ~20x exit to be fair; management guides only ~20-25% FY27 revenue growth, so the multiple already embeds Dangote Phase 2 and non-heating wins that are not yet in hand</w:t>
            </w:r>
          </w:p>
        </w:tc>
      </w:tr>
      <w:tr>
        <w:tc>
          <w:tcPr>
            <w:tcW w:type="dxa" w:w="3200"/>
            <w:shd w:fill="F2F2F2" w:val="clear"/>
          </w:tcPr>
          <w:p>
            <w:r>
              <w:rPr>
                <w:b/>
                <w:bCs/>
              </w:rPr>
              <w:t xml:space="preserve">Our FY27</w:t>
            </w:r>
          </w:p>
        </w:tc>
        <w:tc>
          <w:tcPr>
            <w:tcW w:type="dxa" w:w="5800"/>
          </w:tcPr>
          <w:p>
            <w:r>
              <w:t xml:space="preserve">Revenue +20-25% to ~Rs 1,000-1,050 Cr (H2-weighted); consolidated EBITDA margin 12-14%; PAT up sharply YoY off a depressed FY26 base but with weak cash conversion; Chemdist a drag until ~year-end</w:t>
            </w:r>
          </w:p>
        </w:tc>
      </w:tr>
      <w:tr>
        <w:tc>
          <w:tcPr>
            <w:tcW w:type="dxa" w:w="3200"/>
            <w:shd w:fill="F2F2F2" w:val="clear"/>
          </w:tcPr>
          <w:p>
            <w:r>
              <w:rPr>
                <w:b/>
                <w:bCs/>
              </w:rPr>
              <w:t xml:space="preserve">Our FY28</w:t>
            </w:r>
          </w:p>
        </w:tc>
        <w:tc>
          <w:tcPr>
            <w:tcW w:type="dxa" w:w="5800"/>
          </w:tcPr>
          <w:p>
            <w:r>
              <w:t xml:space="preserve">Second leg only if Dangote Phase 2 is awarded and the non-heating pipeline converts at the assumed 10-12% hit rate; base case is mid-20s% growth with margins near 13-14%</w:t>
            </w:r>
          </w:p>
        </w:tc>
      </w:tr>
      <w:tr>
        <w:tc>
          <w:tcPr>
            <w:tcW w:type="dxa" w:w="3200"/>
            <w:shd w:fill="F2F2F2" w:val="clear"/>
          </w:tcPr>
          <w:p>
            <w:r>
              <w:rPr>
                <w:b/>
                <w:bCs/>
              </w:rPr>
              <w:t xml:space="preserve">Gap direction</w:t>
            </w:r>
          </w:p>
        </w:tc>
        <w:tc>
          <w:tcPr>
            <w:tcW w:type="dxa" w:w="5800"/>
          </w:tcPr>
          <w:p>
            <w:r>
              <w:t xml:space="preserve">over-optimistic</w:t>
            </w:r>
          </w:p>
        </w:tc>
      </w:tr>
      <w:tr>
        <w:tc>
          <w:tcPr>
            <w:tcW w:type="dxa" w:w="3200"/>
            <w:shd w:fill="F2F2F2" w:val="clear"/>
          </w:tcPr>
          <w:p>
            <w:r>
              <w:rPr>
                <w:b/>
                <w:bCs/>
              </w:rPr>
              <w:t xml:space="preserve">Gap type</w:t>
            </w:r>
          </w:p>
        </w:tc>
        <w:tc>
          <w:tcPr>
            <w:tcW w:type="dxa" w:w="5800"/>
          </w:tcPr>
          <w:p>
            <w:r>
              <w:t xml:space="preserve">new_business</w:t>
            </w:r>
          </w:p>
        </w:tc>
      </w:tr>
      <w:tr>
        <w:tc>
          <w:tcPr>
            <w:tcW w:type="dxa" w:w="3200"/>
            <w:shd w:fill="F2F2F2" w:val="clear"/>
          </w:tcPr>
          <w:p>
            <w:r>
              <w:rPr>
                <w:b/>
                <w:bCs/>
              </w:rPr>
              <w:t xml:space="preserve">Gap magnitude</w:t>
            </w:r>
          </w:p>
        </w:tc>
        <w:tc>
          <w:tcPr>
            <w:tcW w:type="dxa" w:w="5800"/>
          </w:tcPr>
          <w:p>
            <w:r>
              <w:t xml:space="preserve">not estimable</w:t>
            </w:r>
          </w:p>
        </w:tc>
      </w:tr>
      <w:tr>
        <w:tc>
          <w:tcPr>
            <w:tcW w:type="dxa" w:w="3200"/>
            <w:shd w:fill="F2F2F2" w:val="clear"/>
          </w:tcPr>
          <w:p>
            <w:r>
              <w:rPr>
                <w:b/>
                <w:bCs/>
              </w:rPr>
              <w:t xml:space="preserve">Gap basis</w:t>
            </w:r>
          </w:p>
        </w:tc>
        <w:tc>
          <w:tcPr>
            <w:tcW w:type="dxa" w:w="5800"/>
          </w:tcPr>
          <w:p>
            <w:r>
              <w:t xml:space="preserve">The ~32x P/E prices in Dangote Phase 2 plus non-heating diversification succeeding. Management has only guided ~20-25% FY27 revenue growth and 12-14% margins, operating cash flow remains near zero, and reappraised ROCE (~17%) / ROE (~12%) is well below the 45-53% the earlier note assumed - our path is below what the multiple needs.</w:t>
            </w:r>
          </w:p>
        </w:tc>
      </w:tr>
      <w:tr>
        <w:tc>
          <w:tcPr>
            <w:tcW w:type="dxa" w:w="3200"/>
            <w:shd w:fill="F2F2F2" w:val="clear"/>
          </w:tcPr>
          <w:p>
            <w:r>
              <w:rPr>
                <w:b/>
                <w:bCs/>
              </w:rPr>
              <w:t xml:space="preserve">Evidence quality</w:t>
            </w:r>
          </w:p>
        </w:tc>
        <w:tc>
          <w:tcPr>
            <w:tcW w:type="dxa" w:w="5800"/>
          </w:tcPr>
          <w:p>
            <w:r>
              <w:t xml:space="preserve">weak</w:t>
            </w:r>
          </w:p>
        </w:tc>
      </w:tr>
    </w:tbl>
    <w:p>
      <w:pPr>
        <w:spacing w:after="120"/>
      </w:pPr>
      <w:r>
        <w:rPr>
          <w:i/>
          <w:iCs/>
          <w:color w:val="666666"/>
          <w:sz w:val="16"/>
          <w:szCs w:val="16"/>
        </w:rPr>
        <w:t xml:space="preserve">no broker consensus; implied path is a reverse-P/E estimate + screener.in forward figures + VP thread view</w:t>
      </w:r>
    </w:p>
    <w:p>
      <w:pPr>
        <w:spacing w:after="120" w:before="120"/>
      </w:pPr>
      <w:r>
        <w:rPr>
          <w:b/>
          <w:bCs/>
          <w:sz w:val="20"/>
          <w:szCs w:val="20"/>
        </w:rPr>
        <w:t xml:space="preserve">Catalyst: </w:t>
      </w:r>
      <w:r>
        <w:rPr>
          <w:sz w:val="20"/>
          <w:szCs w:val="20"/>
        </w:rPr>
        <w:t xml:space="preserve">Dangote Refinery Phase 2 award decision + an H2 FY27 print showing the 20-25% revenue guide and 12-14% margin, plus JNK Chemdist approaching breakeven</w:t>
      </w:r>
      <w:r>
        <w:rPr>
          <w:color w:val="666666"/>
          <w:sz w:val="18"/>
          <w:szCs w:val="18"/>
        </w:rPr>
        <w:t xml:space="preserve"> (window ~9M from 2026-09-03; undated; evidence med; pending)</w:t>
      </w:r>
    </w:p>
    <w:p>
      <w:pPr>
        <w:pStyle w:val="Heading1"/>
        <w:spacing w:after="120" w:before="280"/>
      </w:pPr>
      <w:r>
        <w:t xml:space="preserve">Ishmohit-Lens Checks (value chain · earnings quality · growth trajectory · management · global-signal check)</w:t>
      </w:r>
    </w:p>
    <w:p>
      <w:pPr>
        <w:spacing w:after="120"/>
      </w:pPr>
      <w:r>
        <w:rPr>
          <w:i/>
          <w:iCs/>
          <w:color w:val="666666"/>
          <w:sz w:val="18"/>
          <w:szCs w:val="18"/>
        </w:rPr>
        <w:t xml:space="preserve">Extra checks drawn from @ishmohit1 / SOIC methodology (playbook/ishmohit-soic-style.md): where the company sits in its value chain and what the supply side is doing, whether a margin/PAT inflection is structural or a cyclical peak, the rate-of-change of growth vs. what the multiple demands, and management quality as a positive attribute.</w:t>
      </w:r>
    </w:p>
    <w:p>
      <w:pPr>
        <w:spacing w:after="120"/>
      </w:pPr>
      <w:r>
        <w:rPr>
          <w:b/>
          <w:bCs/>
          <w:sz w:val="20"/>
          <w:szCs w:val="20"/>
        </w:rPr>
        <w:t xml:space="preserve">Value chain &amp; supply side: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Theme</w:t>
            </w:r>
          </w:p>
        </w:tc>
        <w:tc>
          <w:tcPr>
            <w:tcW w:type="dxa" w:w="5800"/>
          </w:tcPr>
          <w:p>
            <w:r>
              <w:t xml:space="preserve">process-fired heaters / reformers / cracking furnaces for the oil &amp; gas + petrochem capex cycle; adjacency into non-heating EPC and green-H2/SAF</w:t>
            </w:r>
          </w:p>
        </w:tc>
      </w:tr>
      <w:tr>
        <w:tc>
          <w:tcPr>
            <w:tcW w:type="dxa" w:w="3200"/>
            <w:shd w:fill="F2F2F2" w:val="clear"/>
          </w:tcPr>
          <w:p>
            <w:r>
              <w:rPr>
                <w:b/>
                <w:bCs/>
              </w:rPr>
              <w:t xml:space="preserve">This company's position</w:t>
            </w:r>
          </w:p>
        </w:tc>
        <w:tc>
          <w:tcPr>
            <w:tcW w:type="dxa" w:w="5800"/>
          </w:tcPr>
          <w:p>
            <w:r>
              <w:t xml:space="preserve">niche equipment maker + EPC for refinery/petrochem fired-heating; back-to-back export subcontracting via Korean promoter JNK Global</w:t>
            </w:r>
          </w:p>
        </w:tc>
      </w:tr>
      <w:tr>
        <w:tc>
          <w:tcPr>
            <w:tcW w:type="dxa" w:w="3200"/>
            <w:shd w:fill="F2F2F2" w:val="clear"/>
          </w:tcPr>
          <w:p>
            <w:r>
              <w:rPr>
                <w:b/>
                <w:bCs/>
              </w:rPr>
              <w:t xml:space="preserve">Bottleneck node (pricing power)</w:t>
            </w:r>
          </w:p>
        </w:tc>
        <w:tc>
          <w:tcPr>
            <w:tcW w:type="dxa" w:w="5800"/>
          </w:tcPr>
          <w:p>
            <w:r>
              <w:t xml:space="preserve">process-licensor technical approvals for export orders (the ADNOC cancellation cause) plus engineering and bank-guarantee capacity</w:t>
            </w:r>
          </w:p>
        </w:tc>
      </w:tr>
      <w:tr>
        <w:tc>
          <w:tcPr>
            <w:tcW w:type="dxa" w:w="3200"/>
            <w:shd w:fill="F2F2F2" w:val="clear"/>
          </w:tcPr>
          <w:p>
            <w:r>
              <w:rPr>
                <w:b/>
                <w:bCs/>
              </w:rPr>
              <w:t xml:space="preserve">Supply-side status</w:t>
            </w:r>
          </w:p>
        </w:tc>
        <w:tc>
          <w:tcPr>
            <w:tcW w:type="dxa" w:w="5800"/>
          </w:tcPr>
          <w:p>
            <w:r>
              <w:t xml:space="preserve">balanced</w:t>
            </w:r>
          </w:p>
        </w:tc>
      </w:tr>
      <w:tr>
        <w:tc>
          <w:tcPr>
            <w:tcW w:type="dxa" w:w="3200"/>
            <w:shd w:fill="F2F2F2" w:val="clear"/>
          </w:tcPr>
          <w:p>
            <w:r>
              <w:rPr>
                <w:b/>
                <w:bCs/>
              </w:rPr>
              <w:t xml:space="preserve">Adjacent-node peers</w:t>
            </w:r>
          </w:p>
        </w:tc>
        <w:tc>
          <w:tcPr>
            <w:tcW w:type="dxa" w:w="5800"/>
          </w:tcPr>
          <w:p>
            <w:r>
              <w:t xml:space="preserve">Thermax, Isgec Heavy Engineering, Bharat Heavy Electricals (fired heaters), JNK Global (Korea, promoter)</w:t>
            </w:r>
          </w:p>
        </w:tc>
      </w:tr>
    </w:tbl>
    <w:p>
      <w:pPr>
        <w:spacing w:after="120"/>
      </w:pPr>
      <w:r>
        <w:rPr>
          <w:color w:val="666666"/>
          <w:sz w:val="18"/>
          <w:szCs w:val="18"/>
        </w:rPr>
        <w:t xml:space="preserve">India refinery/petrochem capex upcycle (Reliance, BPCL Bina, HPCL) is the demand tailwind; the export leg depends on the JNK Global relationship plus process-licensor approvals, both of which showed fragility in 2026 (un-renewed cooperation agreement; ADNOC cancellation).</w:t>
      </w:r>
    </w:p>
    <w:p>
      <w:pPr>
        <w:spacing w:after="60" w:before="120"/>
      </w:pPr>
      <w:r>
        <w:rPr>
          <w:b/>
          <w:bCs/>
          <w:sz w:val="20"/>
          <w:szCs w:val="20"/>
        </w:rPr>
        <w:t xml:space="preserve">Earnings quality: </w:t>
      </w:r>
      <w:r>
        <w:rPr>
          <w:sz w:val="20"/>
          <w:szCs w:val="20"/>
        </w:rPr>
        <w:t xml:space="preserve">margin driver cyclical</w:t>
      </w:r>
      <w:r>
        <w:rPr>
          <w:b/>
          <w:bCs/>
          <w:color w:val="A32020"/>
          <w:sz w:val="20"/>
          <w:szCs w:val="20"/>
        </w:rPr>
        <w:t xml:space="preserve"/>
      </w:r>
    </w:p>
    <w:p>
      <w:pPr>
        <w:spacing w:after="120"/>
      </w:pPr>
      <w:r>
        <w:rPr>
          <w:color w:val="666666"/>
          <w:sz w:val="18"/>
          <w:szCs w:val="18"/>
        </w:rPr>
        <w:t xml:space="preserve">Drivers: refinery/petrochem capex-cycle order flow; project mix (domestic standalone ~14% EBITDA vs lower-margin export back-to-back); operating leverage on a fixed engineering base; JNK Chemdist JV losses (currently dilutive).</w:t>
      </w:r>
    </w:p>
    <w:p>
      <w:pPr>
        <w:spacing w:after="120"/>
      </w:pPr>
      <w:r>
        <w:rPr>
          <w:color w:val="666666"/>
          <w:sz w:val="18"/>
          <w:szCs w:val="18"/>
        </w:rPr>
        <w:t xml:space="preserve">Consolidated EBITDA margin of 11-14% is below the FY24 ~20% level and reflects export mix plus the Chemdist drag; a normalised through-cycle consolidated margin is likely low-to-mid teens, with standalone ~14-16%. Not a peak-margin situation.</w:t>
      </w:r>
    </w:p>
    <w:p>
      <w:pPr>
        <w:spacing w:after="60" w:before="120"/>
      </w:pPr>
      <w:r>
        <w:rPr>
          <w:b/>
          <w:bCs/>
          <w:sz w:val="20"/>
          <w:szCs w:val="20"/>
        </w:rPr>
        <w:t xml:space="preserve">Growth trajectory: </w:t>
      </w:r>
      <w:r>
        <w:rPr>
          <w:b w:val="false"/>
          <w:bCs w:val="false"/>
          <w:sz w:val="20"/>
          <w:szCs w:val="20"/>
        </w:rPr>
        <w:t xml:space="preserve">YoY growth rate is lumpy</w:t>
      </w:r>
    </w:p>
    <w:p>
      <w:pPr>
        <w:spacing w:after="120"/>
      </w:pPr>
      <w:r>
        <w:rPr>
          <w:color w:val="666666"/>
          <w:sz w:val="18"/>
          <w:szCs w:val="18"/>
        </w:rPr>
        <w:t xml:space="preserve">Order/project business with milestone-based, H2-weighted recognition (H1 ~35-40% of the year). FY25 revenue was flat vs FY24, then FY26 +72%. FY26 quarterly PAT: Rs 1.1 Cr -&gt; Rs 13 Cr -&gt; Rs 17.6 Cr -&gt; Rs 33 Cr. Q1 FY27 +80.6% YoY but off a soft Q1 FY26 base.</w:t>
      </w:r>
    </w:p>
    <w:p>
      <w:pPr>
        <w:spacing w:after="120"/>
      </w:pPr>
      <w:r>
        <w:rPr>
          <w:color w:val="666666"/>
          <w:sz w:val="18"/>
          <w:szCs w:val="18"/>
        </w:rPr>
        <w:t xml:space="preserve">Reverse P/E: ~32x trailing needs ~25-30% sustained EPS CAGR; management guides only ~20-25% FY27 revenue growth, and the lumpy order-driven model makes any single-year growth rate unreliable as a trend signal.</w:t>
      </w:r>
    </w:p>
    <w:p>
      <w:pPr>
        <w:spacing w:after="120"/>
      </w:pPr>
      <w:r>
        <w:rPr>
          <w:b/>
          <w:bCs/>
          <w:sz w:val="20"/>
          <w:szCs w:val="20"/>
        </w:rPr>
        <w:t xml:space="preserve">Management quality (TVGP's "P"):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Assessment</w:t>
            </w:r>
          </w:p>
        </w:tc>
        <w:tc>
          <w:tcPr>
            <w:tcW w:type="dxa" w:w="5800"/>
          </w:tcPr>
          <w:p>
            <w:r>
              <w:t xml:space="preserve">concern</w:t>
            </w:r>
          </w:p>
        </w:tc>
      </w:tr>
      <w:tr>
        <w:tc>
          <w:tcPr>
            <w:tcW w:type="dxa" w:w="3200"/>
            <w:shd w:fill="F2F2F2" w:val="clear"/>
          </w:tcPr>
          <w:p>
            <w:r>
              <w:rPr>
                <w:b/>
                <w:bCs/>
              </w:rPr>
              <w:t xml:space="preserve">Capital allocation</w:t>
            </w:r>
          </w:p>
        </w:tc>
        <w:tc>
          <w:tcPr>
            <w:tcW w:type="dxa" w:w="5800"/>
          </w:tcPr>
          <w:p>
            <w:r>
              <w:t xml:space="preserve">IPO proceeds + accruals deployed into working capital and a green-H2 JV; incremental ROCE has fallen to ~17% (from 46-54% pre-scale) and operating cash flow has been negative/breakeven for three years. Dividend payout low (~3.5%). Chemdist is an adjacent but currently loss-making diversification.</w:t>
            </w:r>
          </w:p>
        </w:tc>
      </w:tr>
      <w:tr>
        <w:tc>
          <w:tcPr>
            <w:tcW w:type="dxa" w:w="3200"/>
            <w:shd w:fill="F2F2F2" w:val="clear"/>
          </w:tcPr>
          <w:p>
            <w:r>
              <w:rPr>
                <w:b/>
                <w:bCs/>
              </w:rPr>
              <w:t xml:space="preserve">Related-party trend</w:t>
            </w:r>
          </w:p>
        </w:tc>
        <w:tc>
          <w:tcPr>
            <w:tcW w:type="dxa" w:w="5800"/>
          </w:tcPr>
          <w:p>
            <w:r>
              <w:t xml:space="preserve">rising</w:t>
            </w:r>
          </w:p>
        </w:tc>
      </w:tr>
      <w:tr>
        <w:tc>
          <w:tcPr>
            <w:tcW w:type="dxa" w:w="3200"/>
            <w:shd w:fill="F2F2F2" w:val="clear"/>
          </w:tcPr>
          <w:p>
            <w:r>
              <w:rPr>
                <w:b/>
                <w:bCs/>
              </w:rPr>
              <w:t xml:space="preserve">Guidance credibility</w:t>
            </w:r>
          </w:p>
        </w:tc>
        <w:tc>
          <w:tcPr>
            <w:tcW w:type="dxa" w:w="5800"/>
          </w:tcPr>
          <w:p>
            <w:r>
              <w:t xml:space="preserve">mixed</w:t>
            </w:r>
          </w:p>
        </w:tc>
      </w:tr>
      <w:tr>
        <w:tc>
          <w:tcPr>
            <w:tcW w:type="dxa" w:w="3200"/>
            <w:shd w:fill="F2F2F2" w:val="clear"/>
          </w:tcPr>
          <w:p>
            <w:r>
              <w:rPr>
                <w:b/>
                <w:bCs/>
              </w:rPr>
              <w:t xml:space="preserve">Capability ladder / VAP</w:t>
            </w:r>
          </w:p>
        </w:tc>
        <w:tc>
          <w:tcPr>
            <w:tcW w:type="dxa" w:w="5800"/>
          </w:tcPr>
          <w:p>
            <w:r>
              <w:t xml:space="preserve">Stated move up the value curve from fired heaters into full EPC packages, non-heating metals/minerals &amp; offshore equipment, and green-H2/SAF process technology</w:t>
            </w:r>
          </w:p>
        </w:tc>
      </w:tr>
    </w:tbl>
    <w:p>
      <w:pPr>
        <w:pStyle w:val="Heading1"/>
        <w:spacing w:after="120" w:before="280"/>
      </w:pPr>
      <w:r>
        <w:t xml:space="preserve">Technical Read (Weekly / Monthly MACD + Bollinger Bands, or RSI/CCI/Williams %R proxy)</w:t>
      </w:r>
    </w:p>
    <w:p>
      <w:pPr>
        <w:spacing w:after="120"/>
      </w:pPr>
      <w:r>
        <w:t xml:space="preserve">Not pulled this pass -- assessment rests on fundamentals + order-book trajectory. Stock ~Rs 431; ran hard in 2026 on order wins.</w:t>
      </w:r>
    </w:p>
    <w:p>
      <w:pPr>
        <w:pStyle w:val="Heading1"/>
        <w:spacing w:after="120" w:before="280"/>
      </w:pPr>
      <w:r>
        <w:t xml:space="preserve">ValuePickr Community Signal</w:t>
      </w:r>
    </w:p>
    <w:p>
      <w:pPr>
        <w:spacing w:after="120"/>
      </w:pPr>
      <w:r>
        <w:t xml:space="preserve">Positive and building. The thread (22 posts read of 26) tracks a steady stream of order wins: BPCL Bina (~Rs 1,050 Cr received via JNK Global + more pending), first US order via KBR, first HPCL Mumbai process-plant order, Adani, Middle East waste-gas projects, and a Chemdist green-hydrogen/SAF pipeline. The Aug-2026 read-through from JNK Global winning a Rs 1,713 Cr Nigeria/Dangote heater package strengthens the case that JNK India participates in Dangote Refinery Phase 2 (estimated Rs 2,000-2,500 Cr TAM). Bears on the thread flag related-party dependence on JNK Global as the contracting customer/intermediary, a cancelled ~Rs 200 Cr ADNOC TA'ZIZ incinerator order (June 2026, licensor-approval failure), and sanctions exposure from Russia/US end-markets.</w:t>
      </w:r>
    </w:p>
    <w:p>
      <w:pPr>
        <w:spacing w:after="120"/>
      </w:pPr>
      <w:r>
        <w:rPr>
          <w:b/>
          <w:bCs/>
          <w:sz w:val="20"/>
          <w:szCs w:val="20"/>
        </w:rPr>
        <w:t xml:space="preserve">High-conviction call from a top contributor: </w:t>
      </w:r>
      <w:r>
        <w:rPr>
          <w:sz w:val="20"/>
          <w:szCs w:val="20"/>
        </w:rPr>
        <w:t xml:space="preserve">Satishwe (trusted, elevated) is a sustained bullish tracker -- 'good numbers, bidding pipeline healthy' (Aug 2026) and '30-35% topline growth for FY27 without counting new orders' (June 2026). kartik_bhat and sougataG (both elevated) also engage constructively. No red-flag concerns raised. Note the trusted-user growth expectation (30-35%) now sits above management's own reaffirmed FY27 guide of 20-25%.</w:t>
      </w:r>
    </w:p>
    <w:p>
      <w:pPr>
        <w:pStyle w:val="Heading1"/>
        <w:spacing w:after="120" w:before="280"/>
      </w:pPr>
      <w:r>
        <w:t xml:space="preserve">Trusted-User Signals (Ongoing)</w:t>
      </w:r>
    </w:p>
    <w:p>
      <w:pPr>
        <w:spacing w:after="120"/>
      </w:pPr>
      <w:r>
        <w:rPr>
          <w:i/>
          <w:iCs/>
          <w:color w:val="666666"/>
          <w:sz w:val="18"/>
          <w:szCs w:val="18"/>
        </w:rPr>
        <w:t xml:space="preserve">Every time a trusted user expresses clear conviction on this stock, most recent first — this section accumulates over time, it isn't a one-time snapshot.</w:t>
      </w:r>
    </w:p>
    <w:p>
      <w:pPr>
        <w:spacing w:after="100"/>
      </w:pPr>
      <w:r>
        <w:rPr>
          <w:b/>
          <w:bCs/>
          <w:sz w:val="20"/>
          <w:szCs w:val="20"/>
        </w:rPr>
        <w:t xml:space="preserve">2026-08-14 — Satishwe</w:t>
      </w:r>
      <w:r>
        <w:rPr>
          <w:i/>
          <w:iCs/>
          <w:color w:val="666666"/>
          <w:sz w:val="18"/>
          <w:szCs w:val="18"/>
        </w:rPr>
        <w:t xml:space="preserve"> (JNK India Ltd - Oil and Gas sector proxy)</w:t>
      </w:r>
      <w:r>
        <w:rPr>
          <w:sz w:val="20"/>
          <w:szCs w:val="20"/>
        </w:rPr>
        <w:br/>
        <w:t xml:space="preserve">: Good Q1 FY27 numbers, bid pipeline healthy; flags JNK Global's Rs 1,713 Cr Nigeria/Dangote win as a positive read-through</w:t>
      </w:r>
    </w:p>
    <w:p>
      <w:pPr>
        <w:spacing w:after="100"/>
      </w:pPr>
      <w:r>
        <w:rPr>
          <w:b/>
          <w:bCs/>
          <w:sz w:val="20"/>
          <w:szCs w:val="20"/>
        </w:rPr>
        <w:t xml:space="preserve">2026-06-10 — Satishwe</w:t>
      </w:r>
      <w:r>
        <w:rPr>
          <w:i/>
          <w:iCs/>
          <w:color w:val="666666"/>
          <w:sz w:val="18"/>
          <w:szCs w:val="18"/>
        </w:rPr>
        <w:t xml:space="preserve"> (JNK India Ltd - Oil and Gas sector proxy)</w:t>
      </w:r>
      <w:r>
        <w:rPr>
          <w:sz w:val="20"/>
          <w:szCs w:val="20"/>
        </w:rPr>
        <w:br/>
        <w:t xml:space="preserve">: '30-35% topline growth for FY27 without counting new orders' -- bullish on order book + Dangote Phase 2 + export optionality</w:t>
      </w:r>
    </w:p>
    <w:p>
      <w:pPr>
        <w:pStyle w:val="Heading1"/>
        <w:spacing w:after="120" w:before="280"/>
      </w:pPr>
      <w:r>
        <w:t xml:space="preserve">BSE Corporate Actions / Other Red Flags</w:t>
      </w:r>
    </w:p>
    <w:p>
      <w:pPr>
        <w:spacing w:after="120"/>
      </w:pPr>
      <w:r>
        <w:t xml:space="preserve">Key governance watch-item is the related-party relationship with Korean promoter JNK Global, which routes a large and growing share of orders on a back-to-back basis (~Rs 1,050 Cr received; BPCL Bina, Petronas Pengerang, ISL, USA projects). The JNK Global cooperation agreement has not yet been formally renewed (management expects continuation on same terms), and JNK Global reportedly has internal board disputes. ADNOC TA'ZIZ export order cancelled June 2026 over process-licensor technical approval - management calls it 'exceptional and rare', no material cash loss as it was early-stage. No SEBI action, no pledge.</w:t>
      </w:r>
    </w:p>
    <w:p>
      <w:pPr>
        <w:pStyle w:val="Heading1"/>
        <w:spacing w:after="120" w:before="280"/>
      </w:pPr>
      <w:r>
        <w:t xml:space="preserve">Bull Case</w:t>
      </w:r>
    </w:p>
    <w:p>
      <w:pPr>
        <w:pStyle w:val="ListParagraph"/>
        <w:numPr>
          <w:ilvl w:val="0"/>
          <w:numId w:val="1"/>
        </w:numPr>
        <w:spacing w:after="60"/>
      </w:pPr>
      <w:r>
        <w:t xml:space="preserve">Genuine revenue inflection - FY26 +~70%, Q1 FY27 +81% - driven by the Indian refinery/petrochem capex upcycle</w:t>
      </w:r>
    </w:p>
    <w:p>
      <w:pPr>
        <w:pStyle w:val="ListParagraph"/>
        <w:numPr>
          <w:ilvl w:val="0"/>
          <w:numId w:val="1"/>
        </w:numPr>
        <w:spacing w:after="60"/>
      </w:pPr>
      <w:r>
        <w:t xml:space="preserve">Order book ~Rs 1,801 Cr (~2.2x FY26 revenue) plus a &gt;Rs 6,000 Cr bid pipeline; expected inflow Rs 1,200-1,500 Cr/yr</w:t>
      </w:r>
    </w:p>
    <w:p>
      <w:pPr>
        <w:pStyle w:val="ListParagraph"/>
        <w:numPr>
          <w:ilvl w:val="0"/>
          <w:numId w:val="1"/>
        </w:numPr>
        <w:spacing w:after="60"/>
      </w:pPr>
      <w:r>
        <w:t xml:space="preserve">Margin recovering: consolidated EBITDA margin 11.8% in Q1 FY27 (vs 7%), standalone ~14%; guidance 12-14% for FY27</w:t>
      </w:r>
    </w:p>
    <w:p>
      <w:pPr>
        <w:pStyle w:val="ListParagraph"/>
        <w:numPr>
          <w:ilvl w:val="0"/>
          <w:numId w:val="1"/>
        </w:numPr>
        <w:spacing w:after="60"/>
      </w:pPr>
      <w:r>
        <w:t xml:space="preserve">Working capital improving - debtor days down from 261 to 139, inventory days normalised</w:t>
      </w:r>
    </w:p>
    <w:p>
      <w:pPr>
        <w:pStyle w:val="ListParagraph"/>
        <w:numPr>
          <w:ilvl w:val="0"/>
          <w:numId w:val="1"/>
        </w:numPr>
        <w:spacing w:after="60"/>
      </w:pPr>
      <w:r>
        <w:t xml:space="preserve">Optionality from Dangote Phase 2 (Rs 2,000-2,500 Cr TAM, repeat-order candidate), non-heating diversification (target 40% of revenue in 3-5 years), and green-H2/SAF via Chemdist</w:t>
      </w:r>
    </w:p>
    <w:p>
      <w:pPr>
        <w:pStyle w:val="ListParagraph"/>
        <w:numPr>
          <w:ilvl w:val="0"/>
          <w:numId w:val="1"/>
        </w:numPr>
        <w:spacing w:after="60"/>
      </w:pPr>
      <w:r>
        <w:t xml:space="preserve">Trusted-user (Satishwe) sustained positive tracking</w:t>
      </w:r>
    </w:p>
    <w:p>
      <w:pPr>
        <w:pStyle w:val="Heading1"/>
        <w:spacing w:after="120" w:before="280"/>
      </w:pPr>
      <w:r>
        <w:t xml:space="preserve">Bear Case / Key Risks</w:t>
      </w:r>
    </w:p>
    <w:p>
      <w:pPr>
        <w:pStyle w:val="ListParagraph"/>
        <w:numPr>
          <w:ilvl w:val="0"/>
          <w:numId w:val="1"/>
        </w:numPr>
        <w:spacing w:after="60"/>
      </w:pPr>
      <w:r>
        <w:t xml:space="preserve">Capital efficiency is far lower than first assumed - ROCE ~17%, ROE ~12% (FY26), not the 45-53% in the earlier note; that was a pre-scale FY22-23 figure</w:t>
      </w:r>
    </w:p>
    <w:p>
      <w:pPr>
        <w:pStyle w:val="ListParagraph"/>
        <w:numPr>
          <w:ilvl w:val="0"/>
          <w:numId w:val="1"/>
        </w:numPr>
        <w:spacing w:after="60"/>
      </w:pPr>
      <w:r>
        <w:t xml:space="preserve">Operating cash flow negative or breakeven for three straight years (FY24 -Rs 10 Cr, FY25 -Rs 65 Cr, FY26 -Rs 2 Cr) on a working-capital-heavy model</w:t>
      </w:r>
    </w:p>
    <w:p>
      <w:pPr>
        <w:pStyle w:val="ListParagraph"/>
        <w:numPr>
          <w:ilvl w:val="0"/>
          <w:numId w:val="1"/>
        </w:numPr>
        <w:spacing w:after="60"/>
      </w:pPr>
      <w:r>
        <w:t xml:space="preserve">~32x trailing P/E on a 12% ROE, lumpy, cash-poor EPC-style business already prices in unwon catalysts (Dangote 2, non-heating)</w:t>
      </w:r>
    </w:p>
    <w:p>
      <w:pPr>
        <w:pStyle w:val="ListParagraph"/>
        <w:numPr>
          <w:ilvl w:val="0"/>
          <w:numId w:val="1"/>
        </w:numPr>
        <w:spacing w:after="60"/>
      </w:pPr>
      <w:r>
        <w:t xml:space="preserve">FY27 guidance walked back to ~20-25% revenue growth from the wider range previously cited; trusted-user 30-35% expectation now above management's own guide</w:t>
      </w:r>
    </w:p>
    <w:p>
      <w:pPr>
        <w:pStyle w:val="ListParagraph"/>
        <w:numPr>
          <w:ilvl w:val="0"/>
          <w:numId w:val="1"/>
        </w:numPr>
        <w:spacing w:after="60"/>
      </w:pPr>
      <w:r>
        <w:t xml:space="preserve">Rising, un-renewed related-party dependence on promoter JNK Global for export/EPC order flow; JNK Global has internal board disputes</w:t>
      </w:r>
    </w:p>
    <w:p>
      <w:pPr>
        <w:pStyle w:val="ListParagraph"/>
        <w:numPr>
          <w:ilvl w:val="0"/>
          <w:numId w:val="1"/>
        </w:numPr>
        <w:spacing w:after="60"/>
      </w:pPr>
      <w:r>
        <w:t xml:space="preserve">ADNOC TA'ZIZ cancellation shows real process-licensor qualification risk in exports; revenue recognition is milestone-based and H2-weighted (60-65%)</w:t>
      </w:r>
    </w:p>
    <w:p>
      <w:pPr>
        <w:pStyle w:val="ListParagraph"/>
        <w:numPr>
          <w:ilvl w:val="0"/>
          <w:numId w:val="1"/>
        </w:numPr>
        <w:spacing w:after="60"/>
      </w:pPr>
      <w:r>
        <w:t xml:space="preserve">JNK Chemdist JV still loss-making (Rs 3.6 Cr operating loss in Q1 FY27); breakeven only targeted by FY27-end</w:t>
      </w:r>
    </w:p>
    <w:p>
      <w:pPr>
        <w:pStyle w:val="Heading1"/>
        <w:spacing w:after="120" w:before="280"/>
      </w:pPr>
      <w:r>
        <w:t xml:space="preserve">Market-Cap Tier (informational — not a gate in this project)</w:t>
      </w:r>
    </w:p>
    <w:p>
      <w:pPr>
        <w:spacing w:after="120"/>
      </w:pPr>
      <w:r>
        <w:rPr>
          <w:b/>
          <w:bCs/>
        </w:rPr>
        <w:t xml:space="preserve">Small-cap (~Rs 2,416 Cr)</w:t>
      </w:r>
    </w:p>
    <w:p>
      <w:pPr>
        <w:pStyle w:val="Heading1"/>
        <w:spacing w:after="120" w:before="280"/>
      </w:pPr>
      <w:r>
        <w:t xml:space="preserve">Thesis Fit</w:t>
      </w:r>
    </w:p>
    <w:p>
      <w:pPr>
        <w:spacing w:after="120"/>
      </w:pPr>
      <w:r>
        <w:rPr>
          <w:b/>
          <w:bCs/>
          <w:sz w:val="24"/>
          <w:szCs w:val="24"/>
        </w:rPr>
        <w:t xml:space="preserve">neither</w:t>
      </w:r>
    </w:p>
    <w:p>
      <w:pPr>
        <w:pStyle w:val="Heading1"/>
        <w:spacing w:after="120" w:before="280"/>
      </w:pPr>
      <w:r>
        <w:t xml:space="preserve">Verdict</w:t>
      </w:r>
    </w:p>
    <w:p>
      <w:pPr>
        <w:spacing w:after="120"/>
      </w:pPr>
      <w:r>
        <w:rPr>
          <w:b/>
          <w:bCs/>
          <w:sz w:val="24"/>
          <w:szCs w:val="24"/>
        </w:rPr>
        <w:t xml:space="preserve">A real refinery-capex growth story, but meaningfully lower quality than first assumed (ROCE ~17%, negative operating cash flow) and richly priced at ~32x - conviction cut to Medium, thesis fit to neither</w:t>
      </w:r>
    </w:p>
    <w:p>
      <w:pPr>
        <w:pStyle w:val="ListParagraph"/>
        <w:numPr>
          <w:ilvl w:val="0"/>
          <w:numId w:val="1"/>
        </w:numPr>
        <w:spacing w:after="60"/>
      </w:pPr>
      <w:r>
        <w:t xml:space="preserve">The revenue inflection and Rs 1,801 Cr order book are genuine, and the India refinery/petrochem capex upcycle is a concrete tailwind - this keeps conviction at Medium rather than lower</w:t>
      </w:r>
    </w:p>
    <w:p>
      <w:pPr>
        <w:pStyle w:val="ListParagraph"/>
        <w:numPr>
          <w:ilvl w:val="0"/>
          <w:numId w:val="1"/>
        </w:numPr>
        <w:spacing w:after="60"/>
      </w:pPr>
      <w:r>
        <w:t xml:space="preserve">But the deep read reappraises capital efficiency sharply downward (ROCE ~17% / ROE ~12%, not 45-53%), confirms three years of negative-to-breakeven operating cash flow, a loss-making Chemdist JV, FY27 guidance walked back to 20-25%, and a rising un-renewed related-party dependence on JNK Global - Medium-High is no longer supportable</w:t>
      </w:r>
    </w:p>
    <w:p>
      <w:pPr>
        <w:pStyle w:val="ListParagraph"/>
        <w:numPr>
          <w:ilvl w:val="0"/>
          <w:numId w:val="1"/>
        </w:numPr>
        <w:spacing w:after="60"/>
      </w:pPr>
      <w:r>
        <w:t xml:space="preserve">Thesis fit moved to 'neither': a realistic base case is a 2-4x over several years if execution holds and Dangote Phase 2 lands; a true 10x-in-2-3-years is not credible for a 12%-ROE, cash-poor business guiding ~20-25% growth at a ~32x multiple</w:t>
      </w:r>
    </w:p>
    <w:p>
      <w:pPr>
        <w:pStyle w:val="ListParagraph"/>
        <w:numPr>
          <w:ilvl w:val="0"/>
          <w:numId w:val="1"/>
        </w:numPr>
        <w:spacing w:after="60"/>
      </w:pPr>
      <w:r>
        <w:t xml:space="preserve">No red-flag tier - the JNK Global relationship and RPTs are disclosed, not SEBI action, and there is no pledge or going-concern issue</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p/>
    <w:p>
      <w:r>
        <w:rPr>
          <w:b/>
          <w:sz w:val="28"/>
        </w:rPr>
        <w:t>🔄 RESEARCH UPDATE - 2026-10-05</w:t>
      </w:r>
    </w:p>
    <w:p>
      <w:r>
        <w:rPr>
          <w:b/>
        </w:rPr>
        <w:t>📊 Key Metrics:</w:t>
      </w:r>
    </w:p>
    <w:p>
      <w:pPr>
        <w:ind w:left="360"/>
      </w:pPr>
      <w:r>
        <w:t xml:space="preserve">  • Company: JNK India Ltd</w:t>
      </w:r>
    </w:p>
    <w:p>
      <w:pPr>
        <w:ind w:left="360"/>
      </w:pPr>
      <w:r>
        <w:t xml:space="preserve">  • Conviction: Not rated</w:t>
      </w:r>
    </w:p>
    <w:p>
      <w:pPr>
        <w:ind w:left="360"/>
      </w:pPr>
      <w:r>
        <w:t xml:space="preserve">  • Thesis: neither</w:t>
      </w:r>
    </w:p>
    <w:p>
      <w:pPr>
        <w:ind w:left="360"/>
      </w:pPr>
      <w:r>
        <w:t xml:space="preserve">  • 4-Box Score: 2.0</w:t>
      </w:r>
    </w:p>
    <w:p>
      <w:pPr>
        <w:ind w:left="360"/>
      </w:pPr>
      <w:r>
        <w:t xml:space="preserve">  • Research Date: 2026-09-03</w:t>
      </w:r>
    </w:p>
    <w:p>
      <w:pPr>
        <w:ind w:left="360"/>
      </w:pPr>
      <w:r>
        <w:t xml:space="preserve">  • Red Flag: None</w:t>
      </w:r>
    </w:p>
    <w:p/>
    <w:p>
      <w:r>
        <w:rPr>
          <w:b/>
        </w:rPr>
        <w:t>📝 Verdict:</w:t>
      </w:r>
    </w:p>
    <w:p>
      <w:pPr>
        <w:ind w:left="360"/>
      </w:pPr>
      <w:r>
        <w:t>A real refinery-capex growth story, but meaningfully lower quality than first assumed (ROCE ~17%, negative operating cash flow) and richly priced at ~32x - conviction cut to Medium, thesis fit to neither</w:t>
      </w:r>
    </w:p>
    <w:p/>
    <w:p>
      <w:r>
        <w:rPr>
          <w:b/>
        </w:rPr>
        <w:t>📈 Bull Case:</w:t>
      </w:r>
    </w:p>
    <w:p>
      <w:pPr>
        <w:ind w:left="360"/>
      </w:pPr>
      <w:r>
        <w:t>Genuine revenue inflection - FY26 +~70%, Q1 FY27 +81% - driven by the Indian refinery/petrochem capex upcycle</w:t>
      </w:r>
    </w:p>
    <w:p>
      <w:pPr>
        <w:ind w:left="360"/>
      </w:pPr>
      <w:r>
        <w:t>Order book ~Rs 1,801 Cr (~2.2x FY26 revenue) plus a &gt;Rs 6,000 Cr bid pipeline; expected inflow Rs 1,200-1,500 Cr/yr</w:t>
      </w:r>
    </w:p>
    <w:p>
      <w:pPr>
        <w:ind w:left="360"/>
      </w:pPr>
      <w:r>
        <w:t>Margin recovering: consolidated EBITDA margin 11.8% in Q1 FY27 (vs 7%), standalone ~14%; guidance 12-14% for FY27</w:t>
      </w:r>
    </w:p>
    <w:p>
      <w:pPr>
        <w:ind w:left="360"/>
      </w:pPr>
      <w:r>
        <w:t>Working capital improving - debtor days down from 261 to 139, inventory days normalised</w:t>
      </w:r>
    </w:p>
    <w:p>
      <w:pPr>
        <w:ind w:left="360"/>
      </w:pPr>
      <w:r>
        <w:t>Optionality from Dangote Phase 2 (Rs 2,000-2,500 Cr TAM, repeat-order candidate), non-heating diversification (target 40% of revenue in 3-5 years), and green-H2/SAF via Chemdist</w:t>
      </w:r>
    </w:p>
    <w:p/>
    <w:p>
      <w:r>
        <w:rPr>
          <w:b/>
        </w:rPr>
        <w:t>📉 Bear Case:</w:t>
      </w:r>
    </w:p>
    <w:p>
      <w:pPr>
        <w:ind w:left="360"/>
      </w:pPr>
      <w:r>
        <w:t>Capital efficiency is far lower than first assumed - ROCE ~17%, ROE ~12% (FY26), not the 45-53% in the earlier note; that was a pre-scale FY22-23 figure</w:t>
      </w:r>
    </w:p>
    <w:p>
      <w:pPr>
        <w:ind w:left="360"/>
      </w:pPr>
      <w:r>
        <w:t>Operating cash flow negative or breakeven for three straight years (FY24 -Rs 10 Cr, FY25 -Rs 65 Cr, FY26 -Rs 2 Cr) on a working-capital-heavy model</w:t>
      </w:r>
    </w:p>
    <w:p>
      <w:pPr>
        <w:ind w:left="360"/>
      </w:pPr>
      <w:r>
        <w:t>~32x trailing P/E on a 12% ROE, lumpy, cash-poor EPC-style business already prices in unwon catalysts (Dangote 2, non-heating)</w:t>
      </w:r>
    </w:p>
    <w:p>
      <w:pPr>
        <w:ind w:left="360"/>
      </w:pPr>
      <w:r>
        <w:t>FY27 guidance walked back to ~20-25% revenue growth from the wider range previously cited; trusted-user 30-35% expectation now above management's own guide</w:t>
      </w:r>
    </w:p>
    <w:p>
      <w:pPr>
        <w:ind w:left="360"/>
      </w:pPr>
      <w:r>
        <w:t>Rising, un-renewed related-party dependence on promoter JNK Global for export/EPC order flow; JNK Global has internal board disputes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2026-09-03T15:38:06.407Z</dcterms:created>
  <dcterms:modified xsi:type="dcterms:W3CDTF">2026-09-03T15:38:06.411Z</dcterms:modified>
</cp:coreProperties>
</file>

<file path=docProps/custom.xml><?xml version="1.0" encoding="utf-8"?>
<Properties xmlns="http://schemas.openxmlformats.org/officeDocument/2006/custom-properties" xmlns:vt="http://schemas.openxmlformats.org/officeDocument/2006/docPropsVTypes"/>
</file>