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Kiri Industries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Dyes/chemicals turnaround story on debt reduction and demand surge, but weak historical returns and an unresolved promoter-credibility concern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Kiri Industries is a dyes and dye-intermediates chemicals manufacturer, with the current forum thesis centered on a debt-reduction turnaround plus a demand surge in its core products.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2,821-2,826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2.75% (3-yr avg), 4.9% most recent — weak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FY26 +13.5%, but 5-yr sales growth -2.58% (poor)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Reduced, now near debt-free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262.1 - 453.9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Other</w:t>
            </w:r>
          </w:p>
        </w:tc>
        <w:tc>
          <w:tcPr>
            <w:tcW w:type="dxa" w:w="5800"/>
          </w:tcPr>
          <w:p>
            <w:r>
              <w:t xml:space="preserve">Debtor days improved 62.2 -&gt; 45.2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Weak historical quality — ROE of only 2.75-4.9% and negative 5-year sales growth (-2.58%) — but the current-year picture looks like an inflection: FY26 revenue +13.5%, debt materially reduced, and working capital (debtor days) improving. This reads as an early-stage turnaround rather than an already-proven quality compounder.</w:t>
      </w:r>
    </w:p>
    <w:p>
      <w:pPr>
        <w:pStyle w:val="Heading1"/>
        <w:spacing w:after="120" w:before="280"/>
      </w:pPr>
      <w:r>
        <w:t xml:space="preserve">Guidance &amp; Expectation Gap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Management guidance decoded into commitments, graded on the expectation → action → operational → commercial → financial ladder, then compared to what the current price appears to assume. Method: playbook/guidance-and-expectation-gap.md.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Market expectation vs. our path: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 of</w:t>
            </w:r>
          </w:p>
        </w:tc>
        <w:tc>
          <w:tcPr>
            <w:tcW w:type="dxa" w:w="5800"/>
          </w:tcPr>
          <w:p>
            <w:r>
              <w:t xml:space="preserve">2026-09-09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multiple</w:t>
            </w:r>
          </w:p>
        </w:tc>
        <w:tc>
          <w:tcPr>
            <w:tcW w:type="dxa" w:w="5800"/>
          </w:tcPr>
          <w:p>
            <w:r>
              <w:t xml:space="preserve">Rs 551 · 4.47x 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Right valuation lens</w:t>
            </w:r>
          </w:p>
        </w:tc>
        <w:tc>
          <w:tcPr>
            <w:tcW w:type="dxa" w:w="5800"/>
          </w:tcPr>
          <w:p>
            <w:r>
              <w:t xml:space="preserve">P/B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implies</w:t>
            </w:r>
          </w:p>
        </w:tc>
        <w:tc>
          <w:tcPr>
            <w:tcW w:type="dxa" w:w="5800"/>
          </w:tcPr>
          <w:p>
            <w:r>
              <w:t xml:space="preserve">~0.5x book prices the market's disbelief that the core dyes/intermediates business can earn an adequate return; the ~4.5x P/E is optically cheap only because FY26 earnings include a large one-off DyStar/Senda arbitration gain (~Rs 6,000 Cr other income) -- on operations the business is loss-making (ROCE ~ -2%)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FY27</w:t>
            </w:r>
          </w:p>
        </w:tc>
        <w:tc>
          <w:tcPr>
            <w:tcW w:type="dxa" w:w="5800"/>
          </w:tcPr>
          <w:p>
            <w:r>
              <w:t xml:space="preserve">operating revenue +10-15% on the cited demand recovery; operating margins still thin; the swing factor is whether the arbitration cash is deployed into a genuine capacity/turnaround or leaks away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FY28</w:t>
            </w:r>
          </w:p>
        </w:tc>
        <w:tc>
          <w:tcPr>
            <w:tcW w:type="dxa" w:w="5800"/>
          </w:tcPr>
          <w:p>
            <w:r>
              <w:t xml:space="preserve">unquantified -- depends entirely on execution of the debt-funded turnaround, for which financial closure was not yet achieved as of the latest VP thread post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direction</w:t>
            </w:r>
          </w:p>
        </w:tc>
        <w:tc>
          <w:tcPr>
            <w:tcW w:type="dxa" w:w="5800"/>
          </w:tcPr>
          <w:p>
            <w:r>
              <w:t xml:space="preserve">partially-priced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type</w:t>
            </w:r>
          </w:p>
        </w:tc>
        <w:tc>
          <w:tcPr>
            <w:tcW w:type="dxa" w:w="5800"/>
          </w:tcPr>
          <w:p>
            <w:r>
              <w:t xml:space="preserve">timing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magnitude</w:t>
            </w:r>
          </w:p>
        </w:tc>
        <w:tc>
          <w:tcPr>
            <w:tcW w:type="dxa" w:w="5800"/>
          </w:tcPr>
          <w:p>
            <w:r>
              <w:t xml:space="preserve">not estimable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basis</w:t>
            </w:r>
          </w:p>
        </w:tc>
        <w:tc>
          <w:tcPr>
            <w:tcW w:type="dxa" w:w="5800"/>
          </w:tcPr>
          <w:p>
            <w:r>
              <w:t xml:space="preserve">0.5x book looks like deep value and the balance sheet is now cash-rich post-arbitration, but the operating business still has negative ROCE, negative 5-yr sales CAGR, and a community-flagged promoter over-promising pattern on the pending turnaround funding -- the discount is warranted until operations inflect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Evidence quality</w:t>
            </w:r>
          </w:p>
        </w:tc>
        <w:tc>
          <w:tcPr>
            <w:tcW w:type="dxa" w:w="5800"/>
          </w:tcPr>
          <w:p>
            <w:r>
              <w:t xml:space="preserve">weak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6"/>
          <w:szCs w:val="16"/>
        </w:rPr>
        <w:t xml:space="preserve">no broker consensus; implied path is a reverse-P/E estimate + screener.in forward figures + VP thread view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quality metrics · track record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Quality metrics (ROCE · debt · FCF · margin · capex):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concern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-2% (declining)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Leverage</w:t>
            </w:r>
          </w:p>
        </w:tc>
        <w:tc>
          <w:tcPr>
            <w:tcW w:type="dxa" w:w="5800"/>
          </w:tcPr>
          <w:p>
            <w:r>
              <w:t xml:space="preserve">Net debt/EBITDA -1.5x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FCF conversion</w:t>
            </w:r>
          </w:p>
        </w:tc>
        <w:tc>
          <w:tcPr>
            <w:tcW w:type="dxa" w:w="5800"/>
          </w:tcPr>
          <w:p>
            <w:r>
              <w:t xml:space="preserve">-100%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 trend</w:t>
            </w:r>
          </w:p>
        </w:tc>
        <w:tc>
          <w:tcPr>
            <w:tcW w:type="dxa" w:w="5800"/>
          </w:tcPr>
          <w:p>
            <w:r>
              <w:t xml:space="preserve">contracting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Capex efficiency</w:t>
            </w:r>
          </w:p>
        </w:tc>
        <w:tc>
          <w:tcPr>
            <w:tcW w:type="dxa" w:w="5800"/>
          </w:tcPr>
          <w:p>
            <w:r>
              <w:t xml:space="preserve">value-destructive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Track record (Coffee Can persistence check): </w:t>
      </w:r>
      <w:r>
        <w:rPr>
          <w:sz w:val="20"/>
          <w:szCs w:val="20"/>
        </w:rPr>
        <w:t xml:space="preserve">cleared revenue growth ≥10% AND ROCE ≥15% in 1 of the last 11 years (consistency_score 9)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Per screener.in consolidated (FY16-FY26): only FY22 (+56% revenue / ROCE 16%) cleared both bars. A highly cyclical dyes/intermediates maker with negative 5-yr sales CAGR; ROCE was 5-13% in most years, and FY26 reported profit is a DyStar/Senda arbitration windfall (~Rs 6,000 Cr other income), not operations -- operational ROCE FY26 was ~ -2%.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Trading well off its 52-week high (Rs 453.9 vs current implied by mcap range, low Rs 262.1) — wide range suggests significant volatility tied to turnaround news flow.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Active thread (329 replies, last activity 2026-08-14) with the most recent post raising a specific, unresolved governance/credibility concern rather than pure optimism.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Sanket_Patole (2026-08-14 post, 2 loves) flagged that financial closure (debt funding) for the turnaround has not yet been achieved, and that promoters have a pattern of over-promising and missing deadlines without disclosing true timelines to minority shareholders — while acknowledging they've eventually delivered before, asked whether this is still a red flag given how much rides on securing this funding. posts_seen=1.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checked this pass — no red-flag corporate actions (e.g. SEBI action) surfaced, but see community-flagged promoter-credibility concern above.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Clear turnaround inflection: FY26 revenue growth +13.5% after 5 years of decline, debt reduction, improving debtor days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Demand surge in core dye/chemicals products cited as the near-term catalyst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Low current valuation relative to history if the turnaround sticks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Historical ROE (2.75-4.9%) is weak — this has not been a quality compounder, it's a bet on a turnaround actually completing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Financial closure for the debt funding underpinning the turnaround has not yet been achieved as of the latest post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Community specifically flags a pattern of promoter over-promising and non-transparent timelines — a credibility risk directly relevant to whether the turnaround thesis plays out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Small-mid-cap (~Rs 2,821-2,826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10x-in-2-3-years is the only way this fits — purely as a speculative turnaround bet, not on demonstrated quality; weak historical ROE and an open promoter-credibility question mean this needs the debt funding and delivery to actually materialize first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weak · TAM: weak · moat: weak · valuation: weak  (score 2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Demand surge in dye/chemicals is a real but unconfirmed near-term catalyst on top of 5yrs of sales decline — tailwind weak; FY26 revenue +13.5% turn is an early-stage inflection, financial closure for the underpinning debt funding not yet achieved — tam weak; no distinct moat described; community flags a pattern of promoter over-promising — valuation weak given no market_expectation data and unresolved credibility risk.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Speculative turnaround, not a quality-gate pass yet — watch for financial closure news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Weak historical ROE and negative 5-yr sales growth mean this fails the quality bar on trailing numbers alone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inflection (revenue +13.5%, debt reduction) is real but unproven as a multi-year trend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specific, reasoned community concern about promoter deadline credibility on the pending debt funding is a genuine near-term risk, not a dismissible nitpick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p/>
    <w:p>
      <w:r>
        <w:rPr>
          <w:b/>
          <w:sz w:val="28"/>
        </w:rPr>
        <w:t>🔄 RESEARCH UPDATE - 2026-10-05</w:t>
      </w:r>
    </w:p>
    <w:p>
      <w:r>
        <w:rPr>
          <w:b/>
        </w:rPr>
        <w:t>📊 Key Metrics:</w:t>
      </w:r>
    </w:p>
    <w:p>
      <w:pPr>
        <w:ind w:left="360"/>
      </w:pPr>
      <w:r>
        <w:t xml:space="preserve">  • Company: Kiri Industries Ltd</w:t>
      </w:r>
    </w:p>
    <w:p>
      <w:pPr>
        <w:ind w:left="360"/>
      </w:pPr>
      <w:r>
        <w:t xml:space="preserve">  • Conviction: Not rated</w:t>
      </w:r>
    </w:p>
    <w:p>
      <w:pPr>
        <w:ind w:left="360"/>
      </w:pPr>
      <w:r>
        <w:t xml:space="preserve">  • Thesis: 10x-in-2-3-years is the only way this fits — purely as a speculative turnaround bet, not on demonstrated quality; weak historical ROE and an open promoter-credibility question mean this needs the debt funding and delivery to actually materialize first</w:t>
      </w:r>
    </w:p>
    <w:p>
      <w:pPr>
        <w:ind w:left="360"/>
      </w:pPr>
      <w:r>
        <w:t xml:space="preserve">  • 4-Box Score: 2.0</w:t>
      </w:r>
    </w:p>
    <w:p>
      <w:pPr>
        <w:ind w:left="360"/>
      </w:pPr>
      <w:r>
        <w:t xml:space="preserve">  • Research Date: 2026-10-05</w:t>
      </w:r>
    </w:p>
    <w:p>
      <w:pPr>
        <w:ind w:left="360"/>
      </w:pPr>
      <w:r>
        <w:t xml:space="preserve">  • Red Flag: None</w:t>
      </w:r>
    </w:p>
    <w:p/>
    <w:p>
      <w:r>
        <w:rPr>
          <w:b/>
        </w:rPr>
        <w:t>📝 Verdict:</w:t>
      </w:r>
    </w:p>
    <w:p>
      <w:pPr>
        <w:ind w:left="360"/>
      </w:pPr>
      <w:r>
        <w:t>Speculative turnaround, not a quality-gate pass yet — watch for financial closure news</w:t>
      </w:r>
    </w:p>
    <w:p/>
    <w:p>
      <w:r>
        <w:rPr>
          <w:b/>
        </w:rPr>
        <w:t>📈 Bull Case:</w:t>
      </w:r>
    </w:p>
    <w:p>
      <w:pPr>
        <w:ind w:left="360"/>
      </w:pPr>
      <w:r>
        <w:t>Clear turnaround inflection: FY26 revenue growth +13.5% after 5 years of decline, debt reduction, improving debtor days</w:t>
      </w:r>
    </w:p>
    <w:p>
      <w:pPr>
        <w:ind w:left="360"/>
      </w:pPr>
      <w:r>
        <w:t>Demand surge in core dye/chemicals products cited as the near-term catalyst</w:t>
      </w:r>
    </w:p>
    <w:p>
      <w:pPr>
        <w:ind w:left="360"/>
      </w:pPr>
      <w:r>
        <w:t>Low current valuation relative to history if the turnaround sticks</w:t>
      </w:r>
    </w:p>
    <w:p/>
    <w:p>
      <w:r>
        <w:rPr>
          <w:b/>
        </w:rPr>
        <w:t>📉 Bear Case:</w:t>
      </w:r>
    </w:p>
    <w:p>
      <w:pPr>
        <w:ind w:left="360"/>
      </w:pPr>
      <w:r>
        <w:t>Historical ROE (2.75-4.9%) is weak — this has not been a quality compounder, it's a bet on a turnaround actually completing</w:t>
      </w:r>
    </w:p>
    <w:p>
      <w:pPr>
        <w:ind w:left="360"/>
      </w:pPr>
      <w:r>
        <w:t>Financial closure for the debt funding underpinning the turnaround has not yet been achieved as of the latest post</w:t>
      </w:r>
    </w:p>
    <w:p>
      <w:pPr>
        <w:ind w:left="360"/>
      </w:pPr>
      <w:r>
        <w:t>Community specifically flags a pattern of promoter over-promising and non-transparent timelines — a credibility risk directly relevant to whether the turnaround thesis plays out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2026-09-09T18:20:29.585Z</dcterms:created>
  <dcterms:modified xsi:type="dcterms:W3CDTF">2026-09-09T18:20:29.585Z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