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Knowledge Marine &amp; Engineering Works Ltd</w:t>
      </w:r>
    </w:p>
    <w:p>
      <w:pPr>
        <w:pBdr>
          <w:bottom w:val="single" w:color="CCCCCC" w:sz="6" w:space="8"/>
        </w:pBdr>
        <w:spacing w:after="200"/>
      </w:pPr>
      <w:r>
        <w:rPr>
          <w:i/>
          <w:iCs/>
          <w:color w:val="666666"/>
          <w:sz w:val="22"/>
          <w:szCs w:val="22"/>
        </w:rPr>
        <w:t xml:space="preserve">Real govt-linked dredging/shipbuilding order-book ramp, but the trailing ~55x P/E sits on Q1 FY27 earnings flattered by deferred billing, and promoter selling continues</w:t>
      </w:r>
    </w:p>
    <w:p>
      <w:pPr>
        <w:pStyle w:val="Heading1"/>
        <w:spacing w:after="120" w:before="280"/>
      </w:pPr>
      <w:r>
        <w:t xml:space="preserve">Business Overview</w:t>
      </w:r>
    </w:p>
    <w:p>
      <w:pPr>
        <w:spacing w:after="120"/>
      </w:pPr>
      <w:r>
        <w:t xml:space="preserve">KMEW provides dredging and marine craft hire services to Indian ports and is expanding into ship building and charter hire, benefiting from the government's push on inland waterways (Jalvahak scheme) and port infrastructure, plus a new tonnage-tax benefit.</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7,300 Cr</w:t>
            </w:r>
          </w:p>
        </w:tc>
      </w:tr>
      <w:tr>
        <w:tc>
          <w:tcPr>
            <w:tcW w:type="dxa" w:w="3200"/>
            <w:shd w:fill="F2F2F2" w:val="clear"/>
          </w:tcPr>
          <w:p>
            <w:r>
              <w:rPr>
                <w:b/>
                <w:bCs/>
              </w:rPr>
              <w:t xml:space="preserve">ROCE</w:t>
            </w:r>
          </w:p>
        </w:tc>
        <w:tc>
          <w:tcPr>
            <w:tcW w:type="dxa" w:w="5800"/>
          </w:tcPr>
          <w:p>
            <w:r>
              <w:t xml:space="preserve">16.4%</w:t>
            </w:r>
          </w:p>
        </w:tc>
      </w:tr>
      <w:tr>
        <w:tc>
          <w:tcPr>
            <w:tcW w:type="dxa" w:w="3200"/>
            <w:shd w:fill="F2F2F2" w:val="clear"/>
          </w:tcPr>
          <w:p>
            <w:r>
              <w:rPr>
                <w:b/>
                <w:bCs/>
              </w:rPr>
              <w:t xml:space="preserve">ROE</w:t>
            </w:r>
          </w:p>
        </w:tc>
        <w:tc>
          <w:tcPr>
            <w:tcW w:type="dxa" w:w="5800"/>
          </w:tcPr>
          <w:p>
            <w:r>
              <w:t xml:space="preserve">20.0% (3yr avg 21.6%)</w:t>
            </w:r>
          </w:p>
        </w:tc>
      </w:tr>
      <w:tr>
        <w:tc>
          <w:tcPr>
            <w:tcW w:type="dxa" w:w="3200"/>
            <w:shd w:fill="F2F2F2" w:val="clear"/>
          </w:tcPr>
          <w:p>
            <w:r>
              <w:rPr>
                <w:b/>
                <w:bCs/>
              </w:rPr>
              <w:t xml:space="preserve">Profit growth (5yr CAGR)</w:t>
            </w:r>
          </w:p>
        </w:tc>
        <w:tc>
          <w:tcPr>
            <w:tcW w:type="dxa" w:w="5800"/>
          </w:tcPr>
          <w:p>
            <w:r>
              <w:t xml:space="preserve">64.5%</w:t>
            </w:r>
          </w:p>
        </w:tc>
      </w:tr>
      <w:tr>
        <w:tc>
          <w:tcPr>
            <w:tcW w:type="dxa" w:w="3200"/>
            <w:shd w:fill="F2F2F2" w:val="clear"/>
          </w:tcPr>
          <w:p>
            <w:r>
              <w:rPr>
                <w:b/>
                <w:bCs/>
              </w:rPr>
              <w:t xml:space="preserve">Stock P/E</w:t>
            </w:r>
          </w:p>
        </w:tc>
        <w:tc>
          <w:tcPr>
            <w:tcW w:type="dxa" w:w="5800"/>
          </w:tcPr>
          <w:p>
            <w:r>
              <w:t xml:space="preserve">~53-57x trailing (on Q1 FY27 one-off-flattered EPS)</w:t>
            </w:r>
          </w:p>
        </w:tc>
      </w:tr>
      <w:tr>
        <w:tc>
          <w:tcPr>
            <w:tcW w:type="dxa" w:w="3200"/>
            <w:shd w:fill="F2F2F2" w:val="clear"/>
          </w:tcPr>
          <w:p>
            <w:r>
              <w:rPr>
                <w:b/>
                <w:bCs/>
              </w:rPr>
              <w:t xml:space="preserve">52-week range</w:t>
            </w:r>
          </w:p>
        </w:tc>
        <w:tc>
          <w:tcPr>
            <w:tcW w:type="dxa" w:w="5800"/>
          </w:tcPr>
          <w:p>
            <w:r>
              <w:t xml:space="preserve">Rs 852 - 3,000</w:t>
            </w:r>
          </w:p>
        </w:tc>
      </w:tr>
    </w:tbl>
    <w:p>
      <w:pPr>
        <w:spacing w:after="100"/>
      </w:pPr>
    </w:p>
    <w:p>
      <w:pPr>
        <w:spacing w:after="120"/>
      </w:pPr>
      <w:r>
        <w:t xml:space="preserve">FY26 confirmed: revenue Rs 256 Cr (+28%), EBITDA Rs 97 Cr (~38% margin), PAT Rs 79 Cr (+58-60%). The quarterly path is highly lumpy and project-timing-driven: Q4 FY26 was weak (revenue ~Rs 78 Cr, OPM compressed to ~27%, PAT ~Rs 24 Cr) because roughly Rs 60 Cr of high-margin final billing slipped into Q1 FY27, which then printed a blowout (revenue ~Rs 115 Cr, ~64% OPM, PAT ~Rs 62 Cr, +448% YoY). That 64% OPM is ~1.6x the management-guided through-cycle floor of 30-40%, so trailing EPS - and the ~55x P/E on it - is flattered. Order book is genuinely large at ~Rs 1,640 Cr (~6x FY26 revenue) with a ~Rs 3,000 Cr bid pipeline and 15-year green-tug contracts (Rs 652 Cr) giving visibility to 2042. But borrowings rose Rs 133 Cr -&gt; Rs 222 Cr (FY25-&gt;FY26) with the cap raised to Rs 1,200 Cr, FY26 FCF was -Rs 45 Cr on capex and a heavy working-capital drag, and promoter holding has fallen from ~73% (2021) to 51.56% (Jun-26) with fresh open-market bulk-deal sales in June 2026. Sell-side target (~Rs 2,350) sits ~20% below spot.</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2026-09-01.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FY24/FY25/FY26 annuals via screener.in - revenue 164 -&gt; 201 -&gt; 256 Cr, EBITDA 50 -&gt; 78 -&gt; 97 Cr, PAT 31 -&gt; 50 -&gt; 79 Cr, borrowings 60 -&gt; 133 -&gt; 222 Cr, FCF -Rs 45 Cr FY26</w:t>
      </w:r>
    </w:p>
    <w:p>
      <w:pPr>
        <w:pStyle w:val="ListParagraph"/>
        <w:numPr>
          <w:ilvl w:val="0"/>
          <w:numId w:val="1"/>
        </w:numPr>
        <w:spacing w:after="60"/>
      </w:pPr>
      <w:r>
        <w:t xml:space="preserve">Q3 FY26 - Q1 FY27 results + Q4 FY26 concall summary + Q1 FY27 press coverage (Business Standard, scanx, univest)</w:t>
      </w:r>
    </w:p>
    <w:p>
      <w:pPr>
        <w:pStyle w:val="ListParagraph"/>
        <w:numPr>
          <w:ilvl w:val="0"/>
          <w:numId w:val="1"/>
        </w:numPr>
        <w:spacing w:after="60"/>
      </w:pPr>
      <w:r>
        <w:t xml:space="preserve">BSE/NSE announcements Jun-Aug 2026 - promoter bulk-deal sale, Rs 149.9 Cr preferential to Kacholia, Rs 11.41 Cr Paradip order</w:t>
      </w:r>
    </w:p>
    <w:p>
      <w:pPr>
        <w:pStyle w:val="ListParagraph"/>
        <w:numPr>
          <w:ilvl w:val="0"/>
          <w:numId w:val="1"/>
        </w:numPr>
        <w:spacing w:after="60"/>
      </w:pPr>
      <w:r>
        <w:t xml:space="preserve">exencialrp Substack thesis note; sell-side target compilation (~Rs 2,350)</w:t>
      </w:r>
    </w:p>
    <w:p>
      <w:pPr>
        <w:spacing w:after="120"/>
      </w:pPr>
      <w:r>
        <w:rPr>
          <w:b/>
          <w:bCs/>
          <w:sz w:val="20"/>
          <w:szCs w:val="20"/>
        </w:rPr>
        <w:t xml:space="preserve">Annual-report findings (3-year view):</w:t>
      </w:r>
    </w:p>
    <w:p>
      <w:pPr>
        <w:pStyle w:val="ListParagraph"/>
        <w:numPr>
          <w:ilvl w:val="0"/>
          <w:numId w:val="1"/>
        </w:numPr>
        <w:spacing w:after="60"/>
      </w:pPr>
      <w:r>
        <w:t xml:space="preserve">FY26: revenue Rs 256 Cr (+27.7%), EBITDA Rs 97 Cr (~38% margin), PAT Rs 79 Cr (+58-60%); 5yr revenue CAGR ~50%, profit CAGR ~64%</w:t>
      </w:r>
    </w:p>
    <w:p>
      <w:pPr>
        <w:pStyle w:val="ListParagraph"/>
        <w:numPr>
          <w:ilvl w:val="0"/>
          <w:numId w:val="1"/>
        </w:numPr>
        <w:spacing w:after="60"/>
      </w:pPr>
      <w:r>
        <w:t xml:space="preserve">Borrowings Rs 25 -&gt; 60 -&gt; 133 -&gt; 222 Cr (FY23-&gt;FY26); shareholders raised the borrowing cap from Rs 500 Cr to Rs 1,200 Cr for planned expansion</w:t>
      </w:r>
    </w:p>
    <w:p>
      <w:pPr>
        <w:pStyle w:val="ListParagraph"/>
        <w:numPr>
          <w:ilvl w:val="0"/>
          <w:numId w:val="1"/>
        </w:numPr>
        <w:spacing w:after="60"/>
      </w:pPr>
      <w:r>
        <w:t xml:space="preserve">FY26 operating cash flow ~Rs 74 Cr vs PAT Rs 79 Cr (OK conversion), but FCF was -Rs 45 Cr on capex; H1 FY26 working-capital drag ~Rs 73 Cr from project receivables</w:t>
      </w:r>
    </w:p>
    <w:p>
      <w:pPr>
        <w:pStyle w:val="ListParagraph"/>
        <w:numPr>
          <w:ilvl w:val="0"/>
          <w:numId w:val="1"/>
        </w:numPr>
        <w:spacing w:after="60"/>
      </w:pPr>
      <w:r>
        <w:t xml:space="preserve">Two equity raises in H1 FY26 totalling ~Rs 285 Cr (incl. Rs 149.9 Cr preferential to Ashish Kacholia at Rs 1,962/share, Jun 2026) to fund fleet + Kamal Marine shipbuilding capacity</w:t>
      </w:r>
    </w:p>
    <w:p>
      <w:pPr>
        <w:pStyle w:val="ListParagraph"/>
        <w:numPr>
          <w:ilvl w:val="0"/>
          <w:numId w:val="1"/>
        </w:numPr>
        <w:spacing w:after="60"/>
      </w:pPr>
      <w:r>
        <w:t xml:space="preserve">Tonnage-tax scheme adopted - taxation on fleet tonnage rather than profit, a genuine structural cash-tax tailwind; ~100% fleet utilisation reported</w:t>
      </w:r>
    </w:p>
    <w:p>
      <w:pPr>
        <w:pStyle w:val="ListParagraph"/>
        <w:numPr>
          <w:ilvl w:val="0"/>
          <w:numId w:val="1"/>
        </w:numPr>
        <w:spacing w:after="60"/>
      </w:pPr>
      <w:r>
        <w:t xml:space="preserve">Could not source AR-level detail on auditor remarks, related-party receivables or contingent liabilities this pass - open question</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Q3 FY26 (Dec-25): revenue ~Rs 90 Cr, PAT ~Rs 33 Cr, OPM ~43%</w:t>
      </w:r>
    </w:p>
    <w:p>
      <w:pPr>
        <w:pStyle w:val="ListParagraph"/>
        <w:numPr>
          <w:ilvl w:val="0"/>
          <w:numId w:val="1"/>
        </w:numPr>
        <w:spacing w:after="60"/>
      </w:pPr>
      <w:r>
        <w:t xml:space="preserve">Q4 FY26 (Mar-26): revenue ~Rs 78 Cr (+56% YoY) but OPM compressed to ~27% and PAT ~Rs 24 Cr - management said ~Rs 60 Cr of revenue / final billing shifted into Q1</w:t>
      </w:r>
    </w:p>
    <w:p>
      <w:pPr>
        <w:pStyle w:val="ListParagraph"/>
        <w:numPr>
          <w:ilvl w:val="0"/>
          <w:numId w:val="1"/>
        </w:numPr>
        <w:spacing w:after="60"/>
      </w:pPr>
      <w:r>
        <w:t xml:space="preserve">Q1 FY27 (Jun-26): revenue ~Rs 115 Cr (+138% YoY), EBITDA ~Rs 73 Cr (63.6% margin vs 41% YoY), PAT ~Rs 61.7 Cr (+448% YoY) - substantially the deferred Q4 final billing landing in one quarter</w:t>
      </w:r>
    </w:p>
    <w:p>
      <w:pPr>
        <w:pStyle w:val="ListParagraph"/>
        <w:numPr>
          <w:ilvl w:val="0"/>
          <w:numId w:val="1"/>
        </w:numPr>
        <w:spacing w:after="60"/>
      </w:pPr>
      <w:r>
        <w:t xml:space="preserve">Two-quarter pair (Q4 FY26 + Q1 FY27) smooths to ~+90% YoY revenue on a low base at a blended ~45% OPM - closer to the true run-rate than either quarter alone</w:t>
      </w:r>
    </w:p>
    <w:p>
      <w:pPr>
        <w:pStyle w:val="ListParagraph"/>
        <w:numPr>
          <w:ilvl w:val="0"/>
          <w:numId w:val="1"/>
        </w:numPr>
        <w:spacing w:after="60"/>
      </w:pPr>
      <w:r>
        <w:t xml:space="preserve">Concall tone: confident on order-book conversion, 'revenue ~ one-third of work-order base', selective on international work; no precise FY27 number given</w:t>
      </w:r>
    </w:p>
    <w:p>
      <w:pPr>
        <w:spacing w:after="120"/>
      </w:pPr>
      <w:r>
        <w:rPr>
          <w:b/>
          <w:bCs/>
          <w:sz w:val="20"/>
          <w:szCs w:val="20"/>
        </w:rPr>
        <w:t xml:space="preserve">Exchange announcements (last 6 months):</w:t>
      </w:r>
    </w:p>
    <w:p>
      <w:pPr>
        <w:pStyle w:val="ListParagraph"/>
        <w:numPr>
          <w:ilvl w:val="0"/>
          <w:numId w:val="1"/>
        </w:numPr>
        <w:spacing w:after="60"/>
      </w:pPr>
      <w:r>
        <w:t xml:space="preserve">Jun 2026: promoter group (Kanak &amp; Dinesh Kewalramani) sold ~5.13 lakh shares via open-market bulk deal; promoter holding 53.63% -&gt; 51.56%</w:t>
      </w:r>
    </w:p>
    <w:p>
      <w:pPr>
        <w:pStyle w:val="ListParagraph"/>
        <w:numPr>
          <w:ilvl w:val="0"/>
          <w:numId w:val="1"/>
        </w:numPr>
        <w:spacing w:after="60"/>
      </w:pPr>
      <w:r>
        <w:t xml:space="preserve">Jun 2026: Rs 149.9 Cr preferential allotment at Rs 1,962/share, partly to Ashish Kacholia</w:t>
      </w:r>
    </w:p>
    <w:p>
      <w:pPr>
        <w:pStyle w:val="ListParagraph"/>
        <w:numPr>
          <w:ilvl w:val="0"/>
          <w:numId w:val="1"/>
        </w:numPr>
        <w:spacing w:after="60"/>
      </w:pPr>
      <w:r>
        <w:t xml:space="preserve">Aug 2026: Rs 11.41 Cr order from Paradip Port Authority - one 25-knot patrol-cum-chase boat + crew for 5 years</w:t>
      </w:r>
    </w:p>
    <w:p>
      <w:pPr>
        <w:pStyle w:val="ListParagraph"/>
        <w:numPr>
          <w:ilvl w:val="0"/>
          <w:numId w:val="1"/>
        </w:numPr>
        <w:spacing w:after="60"/>
      </w:pPr>
      <w:r>
        <w:t xml:space="preserve">2025: ~Rs 386 Cr (Rs 3.86 bn) IWAI dredging order win; 15-year green-tug contracts Rs 652.63 Cr from VOC + Visakhapatnam Port Authorities</w:t>
      </w:r>
    </w:p>
    <w:p>
      <w:pPr>
        <w:pStyle w:val="ListParagraph"/>
        <w:numPr>
          <w:ilvl w:val="0"/>
          <w:numId w:val="1"/>
        </w:numPr>
        <w:spacing w:after="60"/>
      </w:pPr>
      <w:r>
        <w:t xml:space="preserve">FY26: multiple stock splits inside 12 months, timed around results and price strength</w:t>
      </w:r>
    </w:p>
    <w:p>
      <w:pPr>
        <w:spacing w:after="120"/>
      </w:pPr>
      <w:r>
        <w:rPr>
          <w:b/>
          <w:bCs/>
          <w:sz w:val="20"/>
          <w:szCs w:val="20"/>
        </w:rPr>
        <w:t xml:space="preserve">Key new facts vs. the prior write-up:</w:t>
      </w:r>
    </w:p>
    <w:p>
      <w:pPr>
        <w:pStyle w:val="ListParagraph"/>
        <w:numPr>
          <w:ilvl w:val="0"/>
          <w:numId w:val="1"/>
        </w:numPr>
        <w:spacing w:after="60"/>
      </w:pPr>
      <w:r>
        <w:t xml:space="preserve">The Q1 FY27 blowout that drove the re-rating is largely a billing-timing artifact - ~Rs 60 Cr of high-margin final billing deferred from a weak 27%-OPM Q4 FY26; normalised OPM is ~38-40%, so the effective P/E is well above the headline ~55x</w:t>
      </w:r>
    </w:p>
    <w:p>
      <w:pPr>
        <w:pStyle w:val="ListParagraph"/>
        <w:numPr>
          <w:ilvl w:val="0"/>
          <w:numId w:val="1"/>
        </w:numPr>
        <w:spacing w:after="60"/>
      </w:pPr>
      <w:r>
        <w:t xml:space="preserve">Promoter holding fell further to 51.56% (Jun-26) via fresh open-market bulk-deal sales - the multi-year 73% -&gt; 51.6% slide is continuing, not stabilising</w:t>
      </w:r>
    </w:p>
    <w:p>
      <w:pPr>
        <w:pStyle w:val="ListParagraph"/>
        <w:numPr>
          <w:ilvl w:val="0"/>
          <w:numId w:val="1"/>
        </w:numPr>
        <w:spacing w:after="60"/>
      </w:pPr>
      <w:r>
        <w:t xml:space="preserve">FY26 FCF was negative (-Rs 45 Cr) and borrowings nearly doubled to Rs 222 Cr with the cap raised to Rs 1,200 Cr - the growth is debt- and equity-funded</w:t>
      </w:r>
    </w:p>
    <w:p>
      <w:pPr>
        <w:pStyle w:val="ListParagraph"/>
        <w:numPr>
          <w:ilvl w:val="0"/>
          <w:numId w:val="1"/>
        </w:numPr>
        <w:spacing w:after="60"/>
      </w:pPr>
      <w:r>
        <w:t xml:space="preserve">Management gives only directional revenue framing (~Rs 1,000 Cr vs a Rs 256 Cr FY26 base); no precise FY27 guidance after missing FY25 guidance materially</w:t>
      </w:r>
    </w:p>
    <w:p>
      <w:pPr>
        <w:pStyle w:val="ListParagraph"/>
        <w:numPr>
          <w:ilvl w:val="0"/>
          <w:numId w:val="1"/>
        </w:numPr>
        <w:spacing w:after="60"/>
      </w:pPr>
      <w:r>
        <w:t xml:space="preserve">Sell-side 12-month target (~Rs 2,350) sits ~20% below the spot price</w:t>
      </w:r>
    </w:p>
    <w:p>
      <w:pPr>
        <w:spacing w:after="120"/>
      </w:pPr>
      <w:r>
        <w:rPr>
          <w:b/>
          <w:bCs/>
          <w:sz w:val="20"/>
          <w:szCs w:val="20"/>
        </w:rPr>
        <w:t xml:space="preserve">Open questions / what to watch:</w:t>
      </w:r>
    </w:p>
    <w:p>
      <w:pPr>
        <w:pStyle w:val="ListParagraph"/>
        <w:numPr>
          <w:ilvl w:val="0"/>
          <w:numId w:val="1"/>
        </w:numPr>
        <w:spacing w:after="60"/>
      </w:pPr>
      <w:r>
        <w:t xml:space="preserve">What is the normalised quarterly revenue/margin run-rate once the Q4-&gt;Q1 billing catch-up washes through (Q2/Q3 FY27)?</w:t>
      </w:r>
    </w:p>
    <w:p>
      <w:pPr>
        <w:pStyle w:val="ListParagraph"/>
        <w:numPr>
          <w:ilvl w:val="0"/>
          <w:numId w:val="1"/>
        </w:numPr>
        <w:spacing w:after="60"/>
      </w:pPr>
      <w:r>
        <w:t xml:space="preserve">How much further does promoter selling go, and does it breach the 50% control threshold?</w:t>
      </w:r>
    </w:p>
    <w:p>
      <w:pPr>
        <w:pStyle w:val="ListParagraph"/>
        <w:numPr>
          <w:ilvl w:val="0"/>
          <w:numId w:val="1"/>
        </w:numPr>
        <w:spacing w:after="60"/>
      </w:pPr>
      <w:r>
        <w:t xml:space="preserve">Kamal Marine shipyard commissioning timeline, capex quantum and utilisation ramp</w:t>
      </w:r>
    </w:p>
    <w:p>
      <w:pPr>
        <w:pStyle w:val="ListParagraph"/>
        <w:numPr>
          <w:ilvl w:val="0"/>
          <w:numId w:val="1"/>
        </w:numPr>
        <w:spacing w:after="60"/>
      </w:pPr>
      <w:r>
        <w:t xml:space="preserve">Working-capital / receivables cycle as shipbuilding scales - can OCF keep pace with revenue?</w:t>
      </w:r>
    </w:p>
    <w:p>
      <w:pPr>
        <w:pStyle w:val="ListParagraph"/>
        <w:numPr>
          <w:ilvl w:val="0"/>
          <w:numId w:val="1"/>
        </w:numPr>
        <w:spacing w:after="60"/>
      </w:pPr>
      <w:r>
        <w:t xml:space="preserve">AR-level governance detail (auditor remarks, RPT trend, contingent liabilities) not sourced this pass</w:t>
      </w:r>
    </w:p>
    <w:p>
      <w:pPr>
        <w:spacing w:after="120" w:before="120"/>
      </w:pPr>
      <w:r>
        <w:rPr>
          <w:b/>
          <w:bCs/>
          <w:sz w:val="20"/>
          <w:szCs w:val="20"/>
        </w:rPr>
        <w:t xml:space="preserve">Conviction impact: </w:t>
      </w:r>
      <w:r>
        <w:rPr>
          <w:sz w:val="20"/>
          <w:szCs w:val="20"/>
        </w:rPr>
        <w:t xml:space="preserve">Medium -&gt; Low-Medium. Filings confirm the order-book tailwind and policy support are real, but the Q1 FY27 earnings blowout is largely deferred final billing from a weak Q4 FY26, so the ~55x trailing P/E is on flattered earnings; promoter holding slipped further to 51.56% with fresh open-market sales, FY26 FCF was negative, leverage is rising, and the ~Rs 1,000 Cr revenue framing is aspirational vs a Rs 256 Cr base. Thesis-fit moves to neither on size math plus valuation.</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Execute the ~Rs 1,640 Cr order book (~6x FY26 revenue) plus a ~Rs 3,000 Cr bid pipeline</w:t>
            </w:r>
          </w:p>
        </w:tc>
        <w:tc>
          <w:tcPr>
            <w:tcW w:type="dxa" w:w="2400"/>
          </w:tcPr>
          <w:p>
            <w:r>
              <w:rPr>
                <w:b w:val="false"/>
                <w:bCs w:val="false"/>
                <w:sz w:val="18"/>
                <w:szCs w:val="18"/>
              </w:rPr>
              <w:t xml:space="preserve">Record FY26 intake Rs 1,075 Cr; 15-yr green-tug contracts Rs 652.63 Cr (VOC + Vizag); ~Rs 386 Cr IWAI dredging; Rs 11.41 Cr Paradip 5-yr patrol boat (Aug-26)</w:t>
            </w:r>
          </w:p>
        </w:tc>
        <w:tc>
          <w:tcPr>
            <w:tcW w:type="dxa" w:w="900"/>
          </w:tcPr>
          <w:p>
            <w:r>
              <w:rPr>
                <w:b w:val="false"/>
                <w:bCs w:val="false"/>
                <w:sz w:val="18"/>
                <w:szCs w:val="18"/>
              </w:rPr>
              <w:t xml:space="preserve">FY28</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Hold EBITDA margin 30-40% and PAT margin 20-25% through the cycle</w:t>
            </w:r>
          </w:p>
        </w:tc>
        <w:tc>
          <w:tcPr>
            <w:tcW w:type="dxa" w:w="2400"/>
          </w:tcPr>
          <w:p>
            <w:r>
              <w:rPr>
                <w:b w:val="false"/>
                <w:bCs w:val="false"/>
                <w:sz w:val="18"/>
                <w:szCs w:val="18"/>
              </w:rPr>
              <w:t xml:space="preserve">Q1 FY27 OPM of ~64% is a billing catch-up from a ~27%-OPM Q4 FY26, not a new run-rate</w:t>
            </w:r>
          </w:p>
        </w:tc>
        <w:tc>
          <w:tcPr>
            <w:tcW w:type="dxa" w:w="900"/>
          </w:tcPr>
          <w:p>
            <w:r>
              <w:rPr>
                <w:b w:val="false"/>
                <w:bCs w:val="false"/>
                <w:sz w:val="18"/>
                <w:szCs w:val="18"/>
              </w:rPr>
              <w:t xml:space="preserve">FY27</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Scale annual revenue toward roughly one-third of the work-order base</w:t>
            </w:r>
          </w:p>
        </w:tc>
        <w:tc>
          <w:tcPr>
            <w:tcW w:type="dxa" w:w="2400"/>
          </w:tcPr>
          <w:p>
            <w:r>
              <w:rPr>
                <w:b w:val="false"/>
                <w:bCs w:val="false"/>
                <w:sz w:val="18"/>
                <w:szCs w:val="18"/>
              </w:rPr>
              <w:t xml:space="preserve">Directional 'Billion and Beyond by 2035'; ~Rs 1,000 Cr revenue framed against a ~Rs 3,000 Cr work-order base; FY26 revenue was Rs 256 Cr</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Leverage the tonnage-tax scheme and Jalvahak inland-waterways / green-tug transition programme</w:t>
            </w:r>
          </w:p>
        </w:tc>
        <w:tc>
          <w:tcPr>
            <w:tcW w:type="dxa" w:w="2400"/>
          </w:tcPr>
          <w:p>
            <w:r>
              <w:rPr>
                <w:b w:val="false"/>
                <w:bCs w:val="false"/>
                <w:sz w:val="18"/>
                <w:szCs w:val="18"/>
              </w:rPr>
              <w:t xml:space="preserve">Tonnage tax adopted; GTTP alignment; national shipbuilding import-substitution push</w:t>
            </w:r>
          </w:p>
        </w:tc>
        <w:tc>
          <w:tcPr>
            <w:tcW w:type="dxa" w:w="900"/>
          </w:tcPr>
          <w:p>
            <w:r>
              <w:rPr>
                <w:b w:val="false"/>
                <w:bCs w:val="false"/>
                <w:sz w:val="18"/>
                <w:szCs w:val="18"/>
              </w:rPr>
              <w:t xml:space="preserve">beyond</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capex</w:t>
            </w:r>
          </w:p>
        </w:tc>
        <w:tc>
          <w:tcPr>
            <w:tcW w:type="dxa" w:w="2600"/>
          </w:tcPr>
          <w:p>
            <w:r>
              <w:rPr>
                <w:b w:val="false"/>
                <w:bCs w:val="false"/>
                <w:sz w:val="18"/>
                <w:szCs w:val="18"/>
              </w:rPr>
              <w:t xml:space="preserve">Build in-house shipbuilding via Kamal Marine plus fleet additions</w:t>
            </w:r>
          </w:p>
        </w:tc>
        <w:tc>
          <w:tcPr>
            <w:tcW w:type="dxa" w:w="2400"/>
          </w:tcPr>
          <w:p>
            <w:r>
              <w:rPr>
                <w:b w:val="false"/>
                <w:bCs w:val="false"/>
                <w:sz w:val="18"/>
                <w:szCs w:val="18"/>
              </w:rPr>
              <w:t xml:space="preserve">~Rs 285 Cr equity raised H1 FY26; borrowing cap raised to Rs 1,200 Cr; borrowings Rs 222 Cr FY26; FY26 FCF -Rs 45 Cr</w:t>
            </w:r>
          </w:p>
        </w:tc>
        <w:tc>
          <w:tcPr>
            <w:tcW w:type="dxa" w:w="900"/>
          </w:tcPr>
          <w:p>
            <w:r>
              <w:rPr>
                <w:b w:val="false"/>
                <w:bCs w:val="false"/>
                <w:sz w:val="18"/>
                <w:szCs w:val="18"/>
              </w:rPr>
              <w:t xml:space="preserve">FY28</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Rs ~1,640 Cr order book + Rs 3,000 Cr bid pipeline</w:t>
      </w:r>
      <w:r>
        <w:rPr>
          <w:color w:val="666666"/>
          <w:sz w:val="20"/>
          <w:szCs w:val="20"/>
        </w:rPr>
        <w:t xml:space="preserve"> → </w:t>
      </w:r>
      <w:r>
        <w:rPr>
          <w:b w:val="false"/>
          <w:bCs w:val="false"/>
          <w:sz w:val="20"/>
          <w:szCs w:val="20"/>
        </w:rPr>
        <w:t xml:space="preserve">revenue scale-up off the Rs 256 Cr FY26 base</w:t>
      </w:r>
      <w:r>
        <w:rPr>
          <w:color w:val="666666"/>
          <w:sz w:val="20"/>
          <w:szCs w:val="20"/>
        </w:rPr>
        <w:t xml:space="preserve"> → </w:t>
      </w:r>
      <w:r>
        <w:rPr>
          <w:b w:val="false"/>
          <w:bCs w:val="false"/>
          <w:sz w:val="20"/>
          <w:szCs w:val="20"/>
        </w:rPr>
        <w:t xml:space="preserve">owned-fleet (~60%) + chartered (~40%) mix at ~100% utilisation</w:t>
      </w:r>
      <w:r>
        <w:rPr>
          <w:color w:val="666666"/>
          <w:sz w:val="20"/>
          <w:szCs w:val="20"/>
        </w:rPr>
        <w:t xml:space="preserve"> → </w:t>
      </w:r>
      <w:r>
        <w:rPr>
          <w:b w:val="false"/>
          <w:bCs w:val="false"/>
          <w:sz w:val="20"/>
          <w:szCs w:val="20"/>
        </w:rPr>
        <w:t xml:space="preserve">EBITDA margin normalising to ~38-40% (ex the 64% Q1 FY27 spike)</w:t>
      </w:r>
      <w:r>
        <w:rPr>
          <w:color w:val="666666"/>
          <w:sz w:val="20"/>
          <w:szCs w:val="20"/>
        </w:rPr>
        <w:t xml:space="preserve"> → </w:t>
      </w:r>
      <w:r>
        <w:rPr>
          <w:b w:val="false"/>
          <w:bCs w:val="false"/>
          <w:sz w:val="20"/>
          <w:szCs w:val="20"/>
        </w:rPr>
        <w:t xml:space="preserve">PAT (tonnage-tax lowered cash tax)</w:t>
      </w:r>
      <w:r>
        <w:rPr>
          <w:color w:val="666666"/>
          <w:sz w:val="20"/>
          <w:szCs w:val="20"/>
        </w:rPr>
        <w:t xml:space="preserve"> → </w:t>
      </w:r>
      <w:r>
        <w:rPr>
          <w:b w:val="false"/>
          <w:bCs w:val="false"/>
          <w:sz w:val="20"/>
          <w:szCs w:val="20"/>
        </w:rPr>
        <w:t xml:space="preserve">operating cash flow net of rising interest + working-capital drag</w:t>
      </w:r>
    </w:p>
    <w:p>
      <w:pPr>
        <w:spacing w:after="120"/>
      </w:pPr>
      <w:r>
        <w:rPr>
          <w:color w:val="666666"/>
          <w:sz w:val="18"/>
          <w:szCs w:val="18"/>
        </w:rPr>
        <w:t xml:space="preserve">Bottleneck link: project-timing revenue recognition / shipyard capacity.</w:t>
      </w:r>
    </w:p>
    <w:p>
      <w:pPr>
        <w:spacing w:after="120"/>
      </w:pPr>
      <w:r>
        <w:rPr>
          <w:color w:val="666666"/>
          <w:sz w:val="18"/>
          <w:szCs w:val="18"/>
        </w:rPr>
        <w:t xml:space="preserve">Operating leverage: unclear - Q1 FY27's 64% OPM is a deferred-billing artifact; underlying leverage on the owned fleet is real but quarter-to-quarter earnings are highly lumpy</w:t>
      </w:r>
    </w:p>
    <w:p>
      <w:pPr>
        <w:spacing w:after="120"/>
      </w:pPr>
      <w:r>
        <w:rPr>
          <w:color w:val="666666"/>
          <w:sz w:val="18"/>
          <w:szCs w:val="18"/>
        </w:rPr>
        <w:t xml:space="preserve">Evidenced: Rs ~1,640 Cr order book + Rs 3,000 Cr bid pipeline; revenue scale-up off the Rs 256 Cr FY26 base. Still assumed: owned-fleet + chartered mix at ~100% utilisation; EBITDA margin normalising to ~38-40%; operating cash flow net of rising interest + working-capital drag.</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2026-09-01</w:t>
            </w:r>
          </w:p>
        </w:tc>
      </w:tr>
      <w:tr>
        <w:tc>
          <w:tcPr>
            <w:tcW w:type="dxa" w:w="3200"/>
            <w:shd w:fill="F2F2F2" w:val="clear"/>
          </w:tcPr>
          <w:p>
            <w:r>
              <w:rPr>
                <w:b/>
                <w:bCs/>
              </w:rPr>
              <w:t xml:space="preserve">Price / multiple</w:t>
            </w:r>
          </w:p>
        </w:tc>
        <w:tc>
          <w:tcPr>
            <w:tcW w:type="dxa" w:w="5800"/>
          </w:tcPr>
          <w:p>
            <w:r>
              <w:t xml:space="preserve">Rs 2936 · 55x P/E · 48x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~55x trailing on EPS flattered by ~Rs 60 Cr of final billing shifted into Q1 FY27; to justify 55x at a ~22-25x steady-compounder exit the market needs ~35-45% EPS CAGR FY26-&gt;FY28 with margins holding near cycle-high. Sell-side target ~Rs 2,350 sits ~20% below spot.</w:t>
            </w:r>
          </w:p>
        </w:tc>
      </w:tr>
      <w:tr>
        <w:tc>
          <w:tcPr>
            <w:tcW w:type="dxa" w:w="3200"/>
            <w:shd w:fill="F2F2F2" w:val="clear"/>
          </w:tcPr>
          <w:p>
            <w:r>
              <w:rPr>
                <w:b/>
                <w:bCs/>
              </w:rPr>
              <w:t xml:space="preserve">Our FY27</w:t>
            </w:r>
          </w:p>
        </w:tc>
        <w:tc>
          <w:tcPr>
            <w:tcW w:type="dxa" w:w="5800"/>
          </w:tcPr>
          <w:p>
            <w:r>
              <w:t xml:space="preserve">Revenue ~Rs 400-550 Cr (order book supports it; the ~Rs 1,000 Cr framing is aspirational), EBITDA margin normalising toward ~38-40% from the 64% Q1 peak, PAT ~Rs 120-160 Cr with rising interest as borrowings climb toward the Rs 1,200 Cr cap</w:t>
            </w:r>
          </w:p>
        </w:tc>
      </w:tr>
      <w:tr>
        <w:tc>
          <w:tcPr>
            <w:tcW w:type="dxa" w:w="3200"/>
            <w:shd w:fill="F2F2F2" w:val="clear"/>
          </w:tcPr>
          <w:p>
            <w:r>
              <w:rPr>
                <w:b/>
                <w:bCs/>
              </w:rPr>
              <w:t xml:space="preserve">Our FY28</w:t>
            </w:r>
          </w:p>
        </w:tc>
        <w:tc>
          <w:tcPr>
            <w:tcW w:type="dxa" w:w="5800"/>
          </w:tcPr>
          <w:p>
            <w:r>
              <w:t xml:space="preserve">Further order-book conversion + shipyard / green-tug contribution, but earnings stay lumpy and quarter-to-quarter visibility is low; leverage and the working-capital cycle are the constraints</w:t>
            </w:r>
          </w:p>
        </w:tc>
      </w:tr>
      <w:tr>
        <w:tc>
          <w:tcPr>
            <w:tcW w:type="dxa" w:w="3200"/>
            <w:shd w:fill="F2F2F2" w:val="clear"/>
          </w:tcPr>
          <w:p>
            <w:r>
              <w:rPr>
                <w:b/>
                <w:bCs/>
              </w:rPr>
              <w:t xml:space="preserve">Gap direction</w:t>
            </w:r>
          </w:p>
        </w:tc>
        <w:tc>
          <w:tcPr>
            <w:tcW w:type="dxa" w:w="5800"/>
          </w:tcPr>
          <w:p>
            <w:r>
              <w:t xml:space="preserve">over-optimistic</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Trades ~25% above its 52-week high on trailing earnings flattered by deferred final billing; Q1's ~64% OPM is ~1.6x the management-guided through-cycle floor; promoter holding down to 51.56% with continued open-market selling; sell-side target ~20% below spot</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Q2/Q3 FY27 prints showing the normalised post-billing-catch-up run-rate and margin, plus Kamal Marine shipyard commissioning, first green-tug deliveries, and whether promoter selling continues</w:t>
      </w:r>
      <w:r>
        <w:rPr>
          <w:color w:val="666666"/>
          <w:sz w:val="18"/>
          <w:szCs w:val="18"/>
        </w:rPr>
        <w:t xml:space="preserve"> (window ~9M from 2026-09-01;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domestic shipbuilding / inland-waterways &amp; port infrastructure (import substitution)</w:t>
            </w:r>
          </w:p>
        </w:tc>
      </w:tr>
      <w:tr>
        <w:tc>
          <w:tcPr>
            <w:tcW w:type="dxa" w:w="3200"/>
            <w:shd w:fill="F2F2F2" w:val="clear"/>
          </w:tcPr>
          <w:p>
            <w:r>
              <w:rPr>
                <w:b/>
                <w:bCs/>
              </w:rPr>
              <w:t xml:space="preserve">This company's position</w:t>
            </w:r>
          </w:p>
        </w:tc>
        <w:tc>
          <w:tcPr>
            <w:tcW w:type="dxa" w:w="5800"/>
          </w:tcPr>
          <w:p>
            <w:r>
              <w:t xml:space="preserve">integrated dredging + marine-craft-hire + in-house shipbuilding contractor to Indian ports, port authorities and IWAI</w:t>
            </w:r>
          </w:p>
        </w:tc>
      </w:tr>
      <w:tr>
        <w:tc>
          <w:tcPr>
            <w:tcW w:type="dxa" w:w="3200"/>
            <w:shd w:fill="F2F2F2" w:val="clear"/>
          </w:tcPr>
          <w:p>
            <w:r>
              <w:rPr>
                <w:b/>
                <w:bCs/>
              </w:rPr>
              <w:t xml:space="preserve">Bottleneck node (pricing power)</w:t>
            </w:r>
          </w:p>
        </w:tc>
        <w:tc>
          <w:tcPr>
            <w:tcW w:type="dxa" w:w="5800"/>
          </w:tcPr>
          <w:p>
            <w:r>
              <w:t xml:space="preserve">specialised dredger / vessel availability + in-house shipyard capacity (Kamal Marine)</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Dredging Corporation of India, Cochin Shipyard, Mazagon Dock Shipbuilders, SEAMEC</w:t>
            </w:r>
          </w:p>
        </w:tc>
      </w:tr>
    </w:tbl>
    <w:p>
      <w:pPr>
        <w:spacing w:after="120"/>
      </w:pPr>
      <w:r>
        <w:rPr>
          <w:color w:val="666666"/>
          <w:sz w:val="18"/>
          <w:szCs w:val="18"/>
        </w:rPr>
        <w:t xml:space="preserve">Government demand (Jalvahak, GTTP, shipbuilding import substitution) is pulling multiple players - KMEW included - to add fleet and yard capacity, so mid-term glut risk is real; near-term the demand runway is long and complex rock-dredging capability limits credible competitors.</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project mix and final-billing timing (drove the 64% Q1 FY27 OPM); tonnage-tax regime lowering cash tax; sole-executor (no-JV) model capturing the full margin stack; operating leverage on the owned fleet at ~100% utilisation.</w:t>
      </w:r>
    </w:p>
    <w:p>
      <w:pPr>
        <w:spacing w:after="120"/>
      </w:pPr>
      <w:r>
        <w:rPr>
          <w:color w:val="666666"/>
          <w:sz w:val="18"/>
          <w:szCs w:val="18"/>
        </w:rPr>
        <w:t xml:space="preserve">Management's own through-cycle floor is 30-40% EBITDA / 20-25% PAT. The ~64% Q1 FY27 OPM reflects ~Rs 60 Cr of high-margin final billing shifted out of a ~27%-OPM Q4 FY26; normalise to ~38-40% EBITDA margin.</w:t>
      </w:r>
    </w:p>
    <w:p>
      <w:pPr>
        <w:spacing w:after="60" w:before="120"/>
      </w:pPr>
      <w:r>
        <w:rPr>
          <w:b/>
          <w:bCs/>
          <w:sz w:val="20"/>
          <w:szCs w:val="20"/>
        </w:rPr>
        <w:t xml:space="preserve">Growth trajectory: </w:t>
      </w:r>
      <w:r>
        <w:rPr>
          <w:b w:val="false"/>
          <w:bCs w:val="false"/>
          <w:sz w:val="20"/>
          <w:szCs w:val="20"/>
        </w:rPr>
        <w:t xml:space="preserve">YoY growth rate is lumpy</w:t>
      </w:r>
    </w:p>
    <w:p>
      <w:pPr>
        <w:spacing w:after="120"/>
      </w:pPr>
      <w:r>
        <w:rPr>
          <w:color w:val="666666"/>
          <w:sz w:val="18"/>
          <w:szCs w:val="18"/>
        </w:rPr>
        <w:t xml:space="preserve">Project business - annual YoY revenue: FY24 -19% (completion cycle), FY25 +23%, FY26 +28%. Quarterly YoY: Q4 FY26 +56% (but OPM 27%), Q1 FY27 +138% (OPM 64%, billing catch-up). The Q4+Q1 pair blends to ~+90% YoY on a low base.</w:t>
      </w:r>
    </w:p>
    <w:p>
      <w:pPr>
        <w:spacing w:after="120"/>
      </w:pPr>
      <w:r>
        <w:rPr>
          <w:color w:val="666666"/>
          <w:sz w:val="18"/>
          <w:szCs w:val="18"/>
        </w:rPr>
        <w:t xml:space="preserve">Reverse P/E: ~55x trailing on one-off-flattered EPS needs ~35-45% sustained EPS CAGR FY26-28 at a ~22-25x exit; the order book supports high revenue growth but not at Q1's margin, and the sell-side target (~Rs 2,350) is ~20% below spot.</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Capital allocation</w:t>
            </w:r>
          </w:p>
        </w:tc>
        <w:tc>
          <w:tcPr>
            <w:tcW w:type="dxa" w:w="5800"/>
          </w:tcPr>
          <w:p>
            <w:r>
              <w:t xml:space="preserve">Reinvesting order-book cash plus two FY26 equity raises (~Rs 285 Cr, incl. Rs 149.9 Cr preferential to Ashish Kacholia at Rs 1,962) into fleet + Kamal Marine shipyard; incremental ROCE ~16-20%; borrowings Rs 133 -&gt; 222 Cr and FY26 FCF -Rs 45 Cr, so growth is debt/equity-funded.</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Shareholder returns</w:t>
            </w:r>
          </w:p>
        </w:tc>
        <w:tc>
          <w:tcPr>
            <w:tcW w:type="dxa" w:w="5800"/>
          </w:tcPr>
          <w:p>
            <w:r>
              <w:t xml:space="preserve">—</w:t>
            </w:r>
          </w:p>
        </w:tc>
      </w:tr>
      <w:tr>
        <w:tc>
          <w:tcPr>
            <w:tcW w:type="dxa" w:w="3200"/>
            <w:shd w:fill="F2F2F2" w:val="clear"/>
          </w:tcPr>
          <w:p>
            <w:r>
              <w:rPr>
                <w:b/>
                <w:bCs/>
              </w:rPr>
              <w:t xml:space="preserve">Capability ladder / VAP</w:t>
            </w:r>
          </w:p>
        </w:tc>
        <w:tc>
          <w:tcPr>
            <w:tcW w:type="dxa" w:w="5800"/>
          </w:tcPr>
          <w:p>
            <w:r>
              <w:t xml:space="preserve">Explicit move up the curve: ship-repair -&gt; dredging -&gt; marine-craft hire -&gt; in-house shipbuilding (Kamal Marine) -&gt; 15-year green-tug O&amp;M contracts.</w:t>
            </w:r>
          </w:p>
        </w:tc>
      </w:tr>
    </w:tbl>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the most recent 50 of 74 posts (2024-03 to 2026-08), single batch. Sentiment moved from early dredging-thesis excitement (govt inland-waterways push, ~10x fleet-expansion tailwind) through a mid-2025 disappointment phase (guided FY25 revenue/PAT of Rs 270-300 Cr/Rs 60 Cr missed badly; order book grew slower than guided) to renewed optimism from late 2025 as the tonnage-tax scheme, a ~1,979-2,000 Cr order book, and a pivot into shipbuilding/charter-hire took hold. The most recent posts (Aug 2026) flag a suspiciously well-timed stock split ahead of a seasonally weaker Q2, and ongoing debate over promoter stock sales.</w:t>
      </w:r>
    </w:p>
    <w:p>
      <w:pPr>
        <w:spacing w:after="120"/>
      </w:pPr>
      <w:r>
        <w:rPr>
          <w:b/>
          <w:bCs/>
          <w:sz w:val="20"/>
          <w:szCs w:val="20"/>
        </w:rPr>
        <w:t xml:space="preserve">High-conviction call from a top contributor: </w:t>
      </w:r>
      <w:r>
        <w:rPr>
          <w:sz w:val="20"/>
          <w:szCs w:val="20"/>
        </w:rPr>
        <w:t xml:space="preserve">Several trusted users engaged directly. vir259 framed the govt's strategic push into domestic shipbuilding (reducing China/Japan/Korea dependence, echoing the rare-earth playbook) as the structural tailwind. gaurav and Prabhat_Mohanty raised a live concern about promoter stake sales; vikassethi (not trusted but high-engagement, 13 loves) countered that recent moves were preferential-allotment buying rather than open-market selling, and that promoters top-up post-results - the two camps did not fully reconcile the facts in-thread.</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2026-09-20 — suru27 (X)</w:t>
      </w:r>
      <w:r>
        <w:rPr>
          <w:i/>
          <w:iCs/>
          <w:color w:val="666666"/>
          <w:sz w:val="18"/>
          <w:szCs w:val="18"/>
        </w:rPr>
        <w:t xml:space="preserve"> (X / @suru27)</w:t>
      </w:r>
      <w:r>
        <w:rPr>
          <w:sz w:val="20"/>
          <w:szCs w:val="20"/>
        </w:rPr>
        <w:br/>
        <w:t xml:space="preserve">: Dedicated bull case defending 55-60x P/E via 22-49% sales growth, 35-62% PAT growth, 20-62% EPS growth, 60-74% OCF conversion; also flagged a new 3rd Green Tug contract.</w:t>
      </w:r>
    </w:p>
    <w:p>
      <w:pPr>
        <w:spacing w:after="100"/>
      </w:pPr>
      <w:r>
        <w:rPr>
          <w:b/>
          <w:bCs/>
          <w:sz w:val="20"/>
          <w:szCs w:val="20"/>
        </w:rPr>
        <w:t xml:space="preserve">2026-06-07 — Prabhat_Mohanty</w:t>
      </w:r>
      <w:r>
        <w:rPr>
          <w:i/>
          <w:iCs/>
          <w:color w:val="666666"/>
          <w:sz w:val="18"/>
          <w:szCs w:val="18"/>
        </w:rPr>
        <w:t xml:space="preserve"> (Knowledge Marine)</w:t>
      </w:r>
      <w:r>
        <w:rPr>
          <w:sz w:val="20"/>
          <w:szCs w:val="20"/>
        </w:rPr>
        <w:br/>
        <w:t xml:space="preserve">: Raised concern that rave community reviews plus continued promoter open-market selling after a preferential issue at a lower price is a 'danger signal,' and separately noted an unexplained QoQ topline/bottomline decline in Q4FY26 offset mainly by a deferred-tax write-back.</w:t>
      </w:r>
    </w:p>
    <w:p>
      <w:pPr>
        <w:spacing w:after="100"/>
      </w:pPr>
      <w:r>
        <w:rPr>
          <w:b/>
          <w:bCs/>
          <w:sz w:val="20"/>
          <w:szCs w:val="20"/>
        </w:rPr>
        <w:t xml:space="preserve">2026-03-04 — gaurav</w:t>
      </w:r>
      <w:r>
        <w:rPr>
          <w:i/>
          <w:iCs/>
          <w:color w:val="666666"/>
          <w:sz w:val="18"/>
          <w:szCs w:val="18"/>
        </w:rPr>
        <w:t xml:space="preserve"> (Knowledge Marine)</w:t>
      </w:r>
      <w:r>
        <w:rPr>
          <w:sz w:val="20"/>
          <w:szCs w:val="20"/>
        </w:rPr>
        <w:br/>
        <w:t xml:space="preserve">: Questioned why the promoter keeps selling stake and for how long, flagged while only tracking without a position - a live, unresolved governance question in the thread.</w:t>
      </w:r>
    </w:p>
    <w:p>
      <w:pPr>
        <w:spacing w:after="100"/>
      </w:pPr>
      <w:r>
        <w:rPr>
          <w:b/>
          <w:bCs/>
          <w:sz w:val="20"/>
          <w:szCs w:val="20"/>
        </w:rPr>
        <w:t xml:space="preserve">2025-12-16 — vir259</w:t>
      </w:r>
      <w:r>
        <w:rPr>
          <w:i/>
          <w:iCs/>
          <w:color w:val="666666"/>
          <w:sz w:val="18"/>
          <w:szCs w:val="18"/>
        </w:rPr>
        <w:t xml:space="preserve"> (Knowledge Marine)</w:t>
      </w:r>
      <w:r>
        <w:rPr>
          <w:sz w:val="20"/>
          <w:szCs w:val="20"/>
        </w:rPr>
        <w:br/>
        <w:t xml:space="preserve">: Framed KMEW's pivot from pure dredging into shipbuilding/port services as riding a strategic national-security-adjacent tailwind (reducing China/Japan/Korea's 90% share of global shipbuilding), with revenue recognition lagging order wins by design given long-cycle contracts.</w:t>
      </w:r>
    </w:p>
    <w:p>
      <w:pPr>
        <w:pStyle w:val="Heading1"/>
        <w:spacing w:after="120" w:before="280"/>
      </w:pPr>
      <w:r>
        <w:t xml:space="preserve">BSE Corporate Actions / Other Red Flags</w:t>
      </w:r>
    </w:p>
    <w:p>
      <w:pPr>
        <w:spacing w:after="120"/>
      </w:pPr>
      <w:r>
        <w:t xml:space="preserve">Two preferential allotments in the past year (Sep 2025 and a further Rs 149.9 Cr at Rs 1,962/share in Jun 2026, partly to Ashish Kacholia). Multiple stock splits in under 12 months, which several posters (Prabhat_Mohanty, deepakreads) flagged as suspiciously well-timed around results and price strength. June 2026: promoter group (Kanak Kewalramani, Dinesh Kewalramani) sold ~5.13 lakh shares via open-market bulk deal, taking promoter holding to 51.56% (from 53.63% in Mar-26). Aug 2026: Rs 11.41 Cr 5-year patrol-boat order from Paradip Port Authority.</w:t>
      </w:r>
    </w:p>
    <w:p>
      <w:pPr>
        <w:pStyle w:val="Heading1"/>
        <w:spacing w:after="120" w:before="280"/>
      </w:pPr>
      <w:r>
        <w:t xml:space="preserve">Bull Case</w:t>
      </w:r>
    </w:p>
    <w:p>
      <w:pPr>
        <w:pStyle w:val="ListParagraph"/>
        <w:numPr>
          <w:ilvl w:val="0"/>
          <w:numId w:val="1"/>
        </w:numPr>
        <w:spacing w:after="60"/>
      </w:pPr>
      <w:r>
        <w:t xml:space="preserve">Order book ~Rs 1,640 Cr (~6x FY26 revenue) plus a ~Rs 3,000 Cr bid pipeline; record FY26 intake of Rs 1,075 Cr, and 15-year green-tug contracts (Rs 652 Cr, VOC + Vizag) give revenue visibility to 2042</w:t>
      </w:r>
    </w:p>
    <w:p>
      <w:pPr>
        <w:pStyle w:val="ListParagraph"/>
        <w:numPr>
          <w:ilvl w:val="0"/>
          <w:numId w:val="1"/>
        </w:numPr>
        <w:spacing w:after="60"/>
      </w:pPr>
      <w:r>
        <w:t xml:space="preserve">Genuine government-policy tailwind: domestic shipbuilding push (import substitution vs China/Japan/Korea), Jalvahak inland-waterways scheme, and a tonnage-tax regime that structurally lowers cash tax</w:t>
      </w:r>
    </w:p>
    <w:p>
      <w:pPr>
        <w:pStyle w:val="ListParagraph"/>
        <w:numPr>
          <w:ilvl w:val="0"/>
          <w:numId w:val="1"/>
        </w:numPr>
        <w:spacing w:after="60"/>
      </w:pPr>
      <w:r>
        <w:t xml:space="preserve">Marquee validation - Ashish Kacholia added Rs 149.9 Cr via preferential allotment at Rs 1,962 (Jun 2026); ~100% fleet utilisation; sole-executor (no-JV) model captures the full margin stack</w:t>
      </w:r>
    </w:p>
    <w:p>
      <w:pPr>
        <w:pStyle w:val="ListParagraph"/>
        <w:numPr>
          <w:ilvl w:val="0"/>
          <w:numId w:val="1"/>
        </w:numPr>
        <w:spacing w:after="60"/>
      </w:pPr>
      <w:r>
        <w:t xml:space="preserve">Diversification from pure dredging into shipbuilding (Kamal Marine, ~31% of H1 FY26 revenue) and long-tenure charter/green-tug O&amp;M broadens the addressable market</w:t>
      </w:r>
    </w:p>
    <w:p>
      <w:pPr>
        <w:pStyle w:val="Heading1"/>
        <w:spacing w:after="120" w:before="280"/>
      </w:pPr>
      <w:r>
        <w:t xml:space="preserve">Bear Case / Key Risks</w:t>
      </w:r>
    </w:p>
    <w:p>
      <w:pPr>
        <w:pStyle w:val="ListParagraph"/>
        <w:numPr>
          <w:ilvl w:val="0"/>
          <w:numId w:val="1"/>
        </w:numPr>
        <w:spacing w:after="60"/>
      </w:pPr>
      <w:r>
        <w:t xml:space="preserve">Q1 FY27's blowout (64% OPM, +448% PAT) is largely ~Rs 60 Cr of high-margin final billing deferred from a weak 27%-OPM Q4 FY26 - trailing ~55x P/E is on flattered earnings, and the sell-side target (~Rs 2,350) sits ~20% below spot</w:t>
      </w:r>
    </w:p>
    <w:p>
      <w:pPr>
        <w:pStyle w:val="ListParagraph"/>
        <w:numPr>
          <w:ilvl w:val="0"/>
          <w:numId w:val="1"/>
        </w:numPr>
        <w:spacing w:after="60"/>
      </w:pPr>
      <w:r>
        <w:t xml:space="preserve">Promoter holding has fallen from ~73% (2021) to 51.56% (Jun-26) with fresh open-market bulk-deal selling in June 2026; two stock splits in 12 months timed to results/price strength - a trusted user flagged the optics</w:t>
      </w:r>
    </w:p>
    <w:p>
      <w:pPr>
        <w:pStyle w:val="ListParagraph"/>
        <w:numPr>
          <w:ilvl w:val="0"/>
          <w:numId w:val="1"/>
        </w:numPr>
        <w:spacing w:after="60"/>
      </w:pPr>
      <w:r>
        <w:t xml:space="preserve">FY26 FCF was -Rs 45 Cr on capex and a heavy working-capital drag (~Rs 73 Cr in H1 FY26); borrowings rose to Rs 222 Cr with the cap lifted to Rs 1,200 Cr - leverage and receivables scale up as shipbuilding grows</w:t>
      </w:r>
    </w:p>
    <w:p>
      <w:pPr>
        <w:pStyle w:val="ListParagraph"/>
        <w:numPr>
          <w:ilvl w:val="0"/>
          <w:numId w:val="1"/>
        </w:numPr>
        <w:spacing w:after="60"/>
      </w:pPr>
      <w:r>
        <w:t xml:space="preserve">Management's directional 'revenue ~ one-third of the work-order base' / 'Billion and Beyond by 2035' framing implies ~Rs 1,000 Cr revenue against a Rs 256 Cr FY26 base - aspirational, no precise FY27 guidance, and FY25 guidance was missed materially</w:t>
      </w:r>
    </w:p>
    <w:p>
      <w:pPr>
        <w:pStyle w:val="ListParagraph"/>
        <w:numPr>
          <w:ilvl w:val="0"/>
          <w:numId w:val="1"/>
        </w:numPr>
        <w:spacing w:after="60"/>
      </w:pPr>
      <w:r>
        <w:t xml:space="preserve">Earnings are highly lumpy and project-timing-driven, so quarter-to-quarter visibility is low and any single mobilisation slip swings the print</w:t>
      </w:r>
    </w:p>
    <w:p>
      <w:pPr>
        <w:pStyle w:val="Heading1"/>
        <w:spacing w:after="120" w:before="280"/>
      </w:pPr>
      <w:r>
        <w:t xml:space="preserve">Market-Cap Tier (informational — not a gate in this project)</w:t>
      </w:r>
    </w:p>
    <w:p>
      <w:pPr>
        <w:spacing w:after="120"/>
      </w:pPr>
      <w:r>
        <w:rPr>
          <w:b/>
          <w:bCs/>
        </w:rPr>
        <w:t xml:space="preserve">Mid-cap (~Rs 7,300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yes · moat: weak · valuation: no  (score 2.5 / 4)</w:t>
      </w:r>
    </w:p>
    <w:p>
      <w:pPr>
        <w:spacing w:after="120"/>
      </w:pPr>
      <w:r>
        <w:rPr>
          <w:i/>
          <w:iCs/>
          <w:color w:val="666666"/>
          <w:sz w:val="20"/>
          <w:szCs w:val="20"/>
        </w:rPr>
        <w:t xml:space="preserve">Domestic shipbuilding import-substitution push + Jalvahak inland-waterways scheme + tonnage-tax regime is a real government-policy tailwind; order book (~6x FY26 revenue) + 15yr green-tug contracts to 2042 support tam; sole-executor no-JV model is a real but modest operational edge, and management's 'Rs1,000cr by 2035' framing is aspirational without precise guidance — moat weak; Q1 FY27's 64% OPM blowout is largely deferred billing from a weak Q4 — trailing ~55x P/E is on flattered earnings, sell-side target ~20% below spot — valuation no. Promoter holding falling (73%-&gt;51.56%) with fresh open-market selling is a separate caution.</w:t>
      </w:r>
    </w:p>
    <w:p>
      <w:pPr>
        <w:pStyle w:val="Heading1"/>
        <w:spacing w:after="120" w:before="280"/>
      </w:pPr>
      <w:r>
        <w:t xml:space="preserve">Verdict</w:t>
      </w:r>
    </w:p>
    <w:p>
      <w:pPr>
        <w:spacing w:after="120"/>
      </w:pPr>
      <w:r>
        <w:rPr>
          <w:b/>
          <w:bCs/>
          <w:sz w:val="24"/>
          <w:szCs w:val="24"/>
        </w:rPr>
        <w:t xml:space="preserve">Real govt-linked order-book ramp and structural tailwinds, but a rich multiple on one-off-flattered earnings, continued promoter selling, negative FCF and size math (~Rs 7,300 Cr mcap) make a 10x-in-2-3-years case a stretch</w:t>
      </w:r>
    </w:p>
    <w:p>
      <w:pPr>
        <w:pStyle w:val="ListParagraph"/>
        <w:numPr>
          <w:ilvl w:val="0"/>
          <w:numId w:val="1"/>
        </w:numPr>
        <w:spacing w:after="60"/>
      </w:pPr>
      <w:r>
        <w:t xml:space="preserve">The deep read confirms the order book and policy tailwind are genuine, but establishes that the quarter which drove the re-rating (Q1 FY27) was substantially a billing-timing artifact from a weak Q4 FY26 - normalised OPM is ~38-40%, not 64%, so the effective multiple is higher than the headline ~55x</w:t>
      </w:r>
    </w:p>
    <w:p>
      <w:pPr>
        <w:pStyle w:val="ListParagraph"/>
        <w:numPr>
          <w:ilvl w:val="0"/>
          <w:numId w:val="1"/>
        </w:numPr>
        <w:spacing w:after="60"/>
      </w:pPr>
      <w:r>
        <w:t xml:space="preserve">Promoter holding continues to slide (73% -&gt; 51.56%) with fresh open-market sales in June 2026, and two closely-spaced stock splits around results were flagged by a trusted user - a soft governance concern that, combined with negative FCF and rising leverage, argues for Low-Medium rather than Medium conviction</w:t>
      </w:r>
    </w:p>
    <w:p>
      <w:pPr>
        <w:pStyle w:val="ListParagraph"/>
        <w:numPr>
          <w:ilvl w:val="0"/>
          <w:numId w:val="1"/>
        </w:numPr>
        <w:spacing w:after="60"/>
      </w:pPr>
      <w:r>
        <w:t xml:space="preserve">Management gives only directional revenue framing (~Rs 1,000 Cr vs a Rs 256 Cr base) after missing FY25 guidance; at a ~Rs 7,300 Cr market cap the growth required for a 10x in 2-3 years is not supported, so thesis-fit moves to neither</w:t>
      </w:r>
    </w:p>
    <w:p>
      <w:pPr>
        <w:pStyle w:val="ListParagraph"/>
        <w:numPr>
          <w:ilvl w:val="0"/>
          <w:numId w:val="1"/>
        </w:numPr>
        <w:spacing w:after="60"/>
      </w:pPr>
      <w:r>
        <w:t xml:space="preserve">Watch Q2/Q3 FY27 for the normalised post-catch-up run-rate and margin, Kamal Marine shipyard commissioning, first green-tug deliveries, and whether promoter selling continues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Knowledge Marine &amp; Engineering Works Ltd</w:t>
      </w:r>
    </w:p>
    <w:p>
      <w:pPr>
        <w:ind w:left="360"/>
      </w:pPr>
      <w:r>
        <w:t xml:space="preserve">  • Conviction: Not rated</w:t>
      </w:r>
    </w:p>
    <w:p>
      <w:pPr>
        <w:ind w:left="360"/>
      </w:pPr>
      <w:r>
        <w:t xml:space="preserve">  • Thesis: neither</w:t>
      </w:r>
    </w:p>
    <w:p>
      <w:pPr>
        <w:ind w:left="360"/>
      </w:pPr>
      <w:r>
        <w:t xml:space="preserve">  • 4-Box Score: 2.5</w:t>
      </w:r>
    </w:p>
    <w:p>
      <w:pPr>
        <w:ind w:left="360"/>
      </w:pPr>
      <w:r>
        <w:t xml:space="preserve">  • Research Date: 2026-09-01</w:t>
      </w:r>
    </w:p>
    <w:p>
      <w:pPr>
        <w:ind w:left="360"/>
      </w:pPr>
      <w:r>
        <w:t xml:space="preserve">  • Red Flag: None</w:t>
      </w:r>
    </w:p>
    <w:p/>
    <w:p>
      <w:r>
        <w:rPr>
          <w:b/>
        </w:rPr>
        <w:t>📝 Verdict:</w:t>
      </w:r>
    </w:p>
    <w:p>
      <w:pPr>
        <w:ind w:left="360"/>
      </w:pPr>
      <w:r>
        <w:t>Real govt-linked order-book ramp and structural tailwinds, but a rich multiple on one-off-flattered earnings, continued promoter selling, negative FCF and size math (~Rs 7,300 Cr mcap) make a 10x-in-2-3-years case a stretch</w:t>
      </w:r>
    </w:p>
    <w:p/>
    <w:p>
      <w:r>
        <w:rPr>
          <w:b/>
        </w:rPr>
        <w:t>📈 Bull Case:</w:t>
      </w:r>
    </w:p>
    <w:p>
      <w:pPr>
        <w:ind w:left="360"/>
      </w:pPr>
      <w:r>
        <w:t>Order book ~Rs 1,640 Cr (~6x FY26 revenue) plus a ~Rs 3,000 Cr bid pipeline; record FY26 intake of Rs 1,075 Cr, and 15-year green-tug contracts (Rs 652 Cr, VOC + Vizag) give revenue visibility to 2042</w:t>
      </w:r>
    </w:p>
    <w:p>
      <w:pPr>
        <w:ind w:left="360"/>
      </w:pPr>
      <w:r>
        <w:t>Genuine government-policy tailwind: domestic shipbuilding push (import substitution vs China/Japan/Korea), Jalvahak inland-waterways scheme, and a tonnage-tax regime that structurally lowers cash tax</w:t>
      </w:r>
    </w:p>
    <w:p>
      <w:pPr>
        <w:ind w:left="360"/>
      </w:pPr>
      <w:r>
        <w:t>Marquee validation - Ashish Kacholia added Rs 149.9 Cr via preferential allotment at Rs 1,962 (Jun 2026); ~100% fleet utilisation; sole-executor (no-JV) model captures the full margin stack</w:t>
      </w:r>
    </w:p>
    <w:p>
      <w:pPr>
        <w:ind w:left="360"/>
      </w:pPr>
      <w:r>
        <w:t>Diversification from pure dredging into shipbuilding (Kamal Marine, ~31% of H1 FY26 revenue) and long-tenure charter/green-tug O&amp;M broadens the addressable market</w:t>
      </w:r>
    </w:p>
    <w:p/>
    <w:p>
      <w:r>
        <w:rPr>
          <w:b/>
        </w:rPr>
        <w:t>📉 Bear Case:</w:t>
      </w:r>
    </w:p>
    <w:p>
      <w:pPr>
        <w:ind w:left="360"/>
      </w:pPr>
      <w:r>
        <w:t>Q1 FY27's blowout (64% OPM, +448% PAT) is largely ~Rs 60 Cr of high-margin final billing deferred from a weak 27%-OPM Q4 FY26 - trailing ~55x P/E is on flattered earnings, and the sell-side target (~Rs 2,350) sits ~20% below spot</w:t>
      </w:r>
    </w:p>
    <w:p>
      <w:pPr>
        <w:ind w:left="360"/>
      </w:pPr>
      <w:r>
        <w:t>Promoter holding has fallen from ~73% (2021) to 51.56% (Jun-26) with fresh open-market bulk-deal selling in June 2026; two stock splits in 12 months timed to results/price strength - a trusted user flagged the optics</w:t>
      </w:r>
    </w:p>
    <w:p>
      <w:pPr>
        <w:ind w:left="360"/>
      </w:pPr>
      <w:r>
        <w:t>FY26 FCF was -Rs 45 Cr on capex and a heavy working-capital drag (~Rs 73 Cr in H1 FY26); borrowings rose to Rs 222 Cr with the cap lifted to Rs 1,200 Cr - leverage and receivables scale up as shipbuilding grows</w:t>
      </w:r>
    </w:p>
    <w:p>
      <w:pPr>
        <w:ind w:left="360"/>
      </w:pPr>
      <w:r>
        <w:t>Management's directional 'revenue ~ one-third of the work-order base' / 'Billion and Beyond by 2035' framing implies ~Rs 1,000 Cr revenue against a Rs 256 Cr FY26 base - aspirational, no precise FY27 guidance, and FY25 guidance was missed materially</w:t>
      </w:r>
    </w:p>
    <w:p>
      <w:pPr>
        <w:ind w:left="360"/>
      </w:pPr>
      <w:r>
        <w:t>Earnings are highly lumpy and project-timing-driven, so quarter-to-quarter visibility is low and any single mobilisation slip swings the print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2026-09-22T12:23:59.557Z</dcterms:created>
  <dcterms:modified xsi:type="dcterms:W3CDTF">2026-09-22T12:23:59.563Z</dcterms:modified>
</cp:coreProperties>
</file>

<file path=docProps/custom.xml><?xml version="1.0" encoding="utf-8"?>
<Properties xmlns="http://schemas.openxmlformats.org/officeDocument/2006/custom-properties" xmlns:vt="http://schemas.openxmlformats.org/officeDocument/2006/docPropsVTypes"/>
</file>