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Lumax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Auto-lighting (headlamp/tail-lamp) Tier-1 supplier via a long-standing JV with Stanley Electric (Japan), riding rising LED content-per-vehicle - a decent but already fairly-valued mid-cap compounder, not a 10x/100x setup.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Lumax Industries manufactures automotive lighting systems (headlamps, tail-lamps, LED modules) for Indian OEMs (Maruti, Tata, M&amp;M, Honda, Yamaha among others) under a technology/JV relationship with Stanley Electric Co. (Japan). Growth is driven by rising LED penetration and content-per-vehicle premiumisation across 2W/PV segments rather than a new structural inflection. Seeded via untrusted X triage (@ParthaAwe, bullish/medium conviction,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5,700-5,750 Cr (price ~Rs 4,000s-5,000s range)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4,055 - Rs 6,970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~Rs 4,485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~24% CAGR (vs auto-ancillary industry median ~14%)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</w:t>
            </w:r>
          </w:p>
        </w:tc>
        <w:tc>
          <w:tcPr>
            <w:tcW w:type="dxa" w:w="5800"/>
          </w:tcPr>
          <w:p>
            <w:r>
              <w:t xml:space="preserve">~Rs 187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~32.6x trailing - full for the growth rate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~75%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Lumax has genuinely outgrown the auto-ancillary industry median on revenue CAGR (~24% vs ~14%), largely on LED/premium-lighting mix-shift and content-per-vehicle gains via its Stanley Electric JV. But the stock has already re-rated hard (52-week range Rs 4,055-6,970) to a full ~32.6x trailing P/E, and detailed ROCE/debt figures were not cleanly available this pass - flagged as a gap. No named management/structural inflection (new CEO, capital-allocation shift, regulatory catalyst) was found; this reads as steady share-gain in a maturing lighting-premiumisation cycle, not a step-change.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Stock is well off its 52-week high (~Rs 6,970) at recent levels - not independently re-pulled this pass; not the basis for the call.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Forum thread resolved (topic_id 2970, 'Lumax Industries - brightening prospects', category 11) but not deep-read this pass per budget - fast web/filings-based write-up only.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assessed this pass (no deep forum read).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this pass (no going-concern, SEBI action, promoter-holding collapse, or auditor resignation surfaced).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LED/premium-lighting content-per-vehicle tailwind, outgrowing auto-ancillary industry median revenue CAGR (~24% vs ~14%)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Entrenched Tier-1 relationships with major OEMs (Maruti, Tata, M&amp;M, Honda, Yamaha) via the Stanley Electric JV - real switching-cost 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promoter holding (~75%)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already full at ~32.6x trailing P/E after a strong re-rating - limited margin of safety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named structural/management inflection found - this is incremental share-gain in a maturing premiumisation cycle, not a new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Auto-ancillary business remains cyclical and OEM-order dependent; detailed ROCE/debt figures not independently confirmed this pass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5,700-5,750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yes · valuation: weak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LED/premium-lighting content-per-vehicle tailwind and Stanley Electric JV support tailwind/moat; TAM is a maturing penetration story rather than a fresh one; valuation is full at ~32.6x trailing P/E.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Solid LED-lighting content-per-vehicle beneficiary with strong revenue growth, but valuation is already full (~32.6x P/E) and no named structural inflection was found - thesis_fit 'neither', conviction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3.0 (tailwind yes - LED/premium content-per-vehicle; tam weak - mature lighting-penetration story; moat yes - Stanley Electric JV + entrenched OEM relationships; valuation weak - ~32.6x trailing P/E). Score permits a 10x/100x label but the growth math (mid-20s% revenue CAGR at an already-rerated valuation) does not genuinely support a literal 10x-in-2-3-years or 100x-in-10-years case - thesis_fit kept at 'neither' (analyst_override).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named management/structural inflection identified - fast web-only write-up per the fast-triage rule, no forum deep-dive.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Lumax Industries Ltd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3.0</w:t>
      </w:r>
    </w:p>
    <w:p>
      <w:pPr>
        <w:ind w:left="360"/>
      </w:pPr>
      <w:r>
        <w:t xml:space="preserve">  • Research Date: 2026-09-17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Order-book-backed LED-lighting content-per-vehicle beneficiary with accelerating, filings-confirmed growth and a clean 4/4-year Coffee-Can record, but valuation remains full, leverage is rising to fund capacity, and management's own margin caveat tempers the recent beat - thesis_fit 'neither', conviction Medium.</w:t>
      </w:r>
    </w:p>
    <w:p/>
    <w:p>
      <w:r>
        <w:rPr>
          <w:b/>
        </w:rPr>
        <w:t>📈 Bull Case:</w:t>
      </w:r>
    </w:p>
    <w:p>
      <w:pPr>
        <w:ind w:left="360"/>
      </w:pPr>
      <w:r>
        <w:t>Order-book-backed growth acceleration, not just narrative: ~Rs 2,200 Cr order book (88% LED), Q1 FY27 revenue +32.6% YoY / PAT +41.2% YoY, record FY26 (+23% revenue, +42.8% EBITDA)</w:t>
      </w:r>
    </w:p>
    <w:p>
      <w:pPr>
        <w:ind w:left="360"/>
      </w:pPr>
      <w:r>
        <w:t>Genuine LED/premium-lighting content-per-vehicle tailwind, outgrowing auto-ancillary industry median revenue CAGR -- LED now 61% of revenue</w:t>
      </w:r>
    </w:p>
    <w:p>
      <w:pPr>
        <w:ind w:left="360"/>
      </w:pPr>
      <w:r>
        <w:t>Entrenched Tier-1 relationships with major OEMs (Maruti, Tata, M&amp;M, Honda, Yamaha) via the Stanley Electric JV - real switching-cost moat, with new Tata/Mahindra order wins adding breadth</w:t>
      </w:r>
    </w:p>
    <w:p>
      <w:pPr>
        <w:ind w:left="360"/>
      </w:pPr>
      <w:r>
        <w:t>Clean 4/4-year Coffee-Can track record (FY22-25 each cleared &gt;=10% revenue growth and &gt;=15% ROCE) even through a heavy capex phase</w:t>
      </w:r>
    </w:p>
    <w:p>
      <w:pPr>
        <w:ind w:left="360"/>
      </w:pPr>
      <w:r>
        <w:t>High promoter holding (75%, flat, no pledge); valuation has compressed somewhat (~26.6x vs ~32.6x cited pre-dive) as EPS growth caught up</w:t>
      </w:r>
    </w:p>
    <w:p/>
    <w:p>
      <w:r>
        <w:rPr>
          <w:b/>
        </w:rPr>
        <w:t>📉 Bear Case:</w:t>
      </w:r>
    </w:p>
    <w:p>
      <w:pPr>
        <w:ind w:left="360"/>
      </w:pPr>
      <w:r>
        <w:t>Valuation still full at ~26.6x trailing P/E - limited margin of safety even after some compression</w:t>
      </w:r>
    </w:p>
    <w:p>
      <w:pPr>
        <w:ind w:left="360"/>
      </w:pPr>
      <w:r>
        <w:t>Rising leverage: borrowings nearly quadrupled from Rs 401 Cr (FY22) to Rs 973 Cr (FY26) funding the Bangalore capacity build -- a real, growing balance-sheet commitment, not yet self-funded from internal accruals</w:t>
      </w:r>
    </w:p>
    <w:p>
      <w:pPr>
        <w:ind w:left="360"/>
      </w:pPr>
      <w:r>
        <w:t>Management itself flagged that recent margin strength was partly 'exceptional tooling profitability,' not a clean run-rate -- the 12-13% EBITDA margin target is 2 years out and unconfirmed</w:t>
      </w:r>
    </w:p>
    <w:p>
      <w:pPr>
        <w:ind w:left="360"/>
      </w:pPr>
      <w:r>
        <w:t>Real customer concentration: top-8 customers ~85% of revenue, Mahindra + Maruti together roughly half the business -- platform delays or share loss at either would have an outsized impact</w:t>
      </w:r>
    </w:p>
    <w:p>
      <w:pPr>
        <w:ind w:left="360"/>
      </w:pPr>
      <w:r>
        <w:t>No named structural/management inflection beyond the LED mix-shift already priced in - this is accelerating share-gain in a premiumisation cycle, not a new catalyst; auto-ancillary remains cyclical and OEM-order dependent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2026-09-15T15:09:57.446Z</dcterms:created>
  <dcterms:modified xsi:type="dcterms:W3CDTF">2026-09-15T15:09:57.451Z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