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Modison Ltd</w:t>
      </w:r>
    </w:p>
    <w:p>
      <w:pPr>
        <w:pBdr>
          <w:bottom w:val="single" w:color="CCCCCC" w:sz="6" w:space="8"/>
        </w:pBdr>
        <w:spacing w:after="200"/>
      </w:pPr>
      <w:r>
        <w:rPr>
          <w:i/>
          <w:iCs/>
          <w:color w:val="666666"/>
          <w:sz w:val="22"/>
          <w:szCs w:val="22"/>
        </w:rPr>
        <w:t xml:space="preserve">Global-niche electrical-contact maker (DODUCO tech collaboration, only player making LV/MV/HV contacts under one roof) riding the India T&amp;D capex cycle and China+1 exports — but FY26's earnings explosion is silver-price-aided and came with negative operating cash flow</w:t>
      </w:r>
    </w:p>
    <w:p>
      <w:pPr>
        <w:pStyle w:val="Heading1"/>
        <w:spacing w:after="120" w:before="280"/>
      </w:pPr>
      <w:r>
        <w:t xml:space="preserve">Business Overview</w:t>
      </w:r>
    </w:p>
    <w:p>
      <w:pPr>
        <w:spacing w:after="120"/>
      </w:pPr>
      <w:r>
        <w:t xml:space="preserve">Modison manufactures electrical contacts and contact materials (silver- and copper-based) for LV, MV and HV switchgear, serving domestic and global switchgear OEMs, with a technical collaboration with Germany's DODUCO KG since 1983. It claims to be the only company globally making contact materials for all three voltage classes under one roof. It has developed an in-house copper-chrome alloy for HV contacts and begun exporting HV contacts to Europe and Japan. Management has an outstanding target of Rs 1,000 Cr revenue by 2030 (FY26 revenue was ~Rs 710 Cr).</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1,621 Cr (price ~Rs 499)</w:t>
            </w:r>
          </w:p>
        </w:tc>
      </w:tr>
      <w:tr>
        <w:tc>
          <w:tcPr>
            <w:tcW w:type="dxa" w:w="3200"/>
            <w:shd w:fill="F2F2F2" w:val="clear"/>
          </w:tcPr>
          <w:p>
            <w:r>
              <w:rPr>
                <w:b/>
                <w:bCs/>
              </w:rPr>
              <w:t xml:space="preserve">ROCE / ROE</w:t>
            </w:r>
          </w:p>
        </w:tc>
        <w:tc>
          <w:tcPr>
            <w:tcW w:type="dxa" w:w="5800"/>
          </w:tcPr>
          <w:p>
            <w:r>
              <w:t xml:space="preserve">31.0% / 32.0% (FY26 — upcycle-aided)</w:t>
            </w:r>
          </w:p>
        </w:tc>
      </w:tr>
      <w:tr>
        <w:tc>
          <w:tcPr>
            <w:tcW w:type="dxa" w:w="3200"/>
            <w:shd w:fill="F2F2F2" w:val="clear"/>
          </w:tcPr>
          <w:p>
            <w:r>
              <w:rPr>
                <w:b/>
                <w:bCs/>
              </w:rPr>
              <w:t xml:space="preserve">P/E (TTM) / P/B</w:t>
            </w:r>
          </w:p>
        </w:tc>
        <w:tc>
          <w:tcPr>
            <w:tcW w:type="dxa" w:w="5800"/>
          </w:tcPr>
          <w:p>
            <w:r>
              <w:t xml:space="preserve">15.1x / 5.9x (book value Rs 84.6)</w:t>
            </w:r>
          </w:p>
        </w:tc>
      </w:tr>
      <w:tr>
        <w:tc>
          <w:tcPr>
            <w:tcW w:type="dxa" w:w="3200"/>
            <w:shd w:fill="F2F2F2" w:val="clear"/>
          </w:tcPr>
          <w:p>
            <w:r>
              <w:rPr>
                <w:b/>
                <w:bCs/>
              </w:rPr>
              <w:t xml:space="preserve">Revenue FY24 → FY25 → FY26</w:t>
            </w:r>
          </w:p>
        </w:tc>
        <w:tc>
          <w:tcPr>
            <w:tcW w:type="dxa" w:w="5800"/>
          </w:tcPr>
          <w:p>
            <w:r>
              <w:t xml:space="preserve">Rs 405 Cr → Rs 490 Cr → Rs 710 Cr (+45%)</w:t>
            </w:r>
          </w:p>
        </w:tc>
      </w:tr>
      <w:tr>
        <w:tc>
          <w:tcPr>
            <w:tcW w:type="dxa" w:w="3200"/>
            <w:shd w:fill="F2F2F2" w:val="clear"/>
          </w:tcPr>
          <w:p>
            <w:r>
              <w:rPr>
                <w:b/>
                <w:bCs/>
              </w:rPr>
              <w:t xml:space="preserve">PAT FY24 → FY25 → FY26</w:t>
            </w:r>
          </w:p>
        </w:tc>
        <w:tc>
          <w:tcPr>
            <w:tcW w:type="dxa" w:w="5800"/>
          </w:tcPr>
          <w:p>
            <w:r>
              <w:t xml:space="preserve">Rs 21 Cr → Rs 25 Cr → Rs 73 Cr (+194%)</w:t>
            </w:r>
          </w:p>
        </w:tc>
      </w:tr>
      <w:tr>
        <w:tc>
          <w:tcPr>
            <w:tcW w:type="dxa" w:w="3200"/>
            <w:shd w:fill="F2F2F2" w:val="clear"/>
          </w:tcPr>
          <w:p>
            <w:r>
              <w:rPr>
                <w:b/>
                <w:bCs/>
              </w:rPr>
              <w:t xml:space="preserve">TTM Revenue / PAT / EPS</w:t>
            </w:r>
          </w:p>
        </w:tc>
        <w:tc>
          <w:tcPr>
            <w:tcW w:type="dxa" w:w="5800"/>
          </w:tcPr>
          <w:p>
            <w:r>
              <w:t xml:space="preserve">Rs 847 Cr / Rs 102 Cr / Rs 31.29</w:t>
            </w:r>
          </w:p>
        </w:tc>
      </w:tr>
      <w:tr>
        <w:tc>
          <w:tcPr>
            <w:tcW w:type="dxa" w:w="3200"/>
            <w:shd w:fill="F2F2F2" w:val="clear"/>
          </w:tcPr>
          <w:p>
            <w:r>
              <w:rPr>
                <w:b/>
                <w:bCs/>
              </w:rPr>
              <w:t xml:space="preserve">FY26 operating cash flow</w:t>
            </w:r>
          </w:p>
        </w:tc>
        <w:tc>
          <w:tcPr>
            <w:tcW w:type="dxa" w:w="5800"/>
          </w:tcPr>
          <w:p>
            <w:r>
              <w:t xml:space="preserve">NEGATIVE ~Rs 64 Cr (FY25 also negative ~Rs 16 Cr); borrowings ~Rs 174 Cr</w:t>
            </w:r>
          </w:p>
        </w:tc>
      </w:tr>
      <w:tr>
        <w:tc>
          <w:tcPr>
            <w:tcW w:type="dxa" w:w="3200"/>
            <w:shd w:fill="F2F2F2" w:val="clear"/>
          </w:tcPr>
          <w:p>
            <w:r>
              <w:rPr>
                <w:b/>
                <w:bCs/>
              </w:rPr>
              <w:t xml:space="preserve">Q1 FY27</w:t>
            </w:r>
          </w:p>
        </w:tc>
        <w:tc>
          <w:tcPr>
            <w:tcW w:type="dxa" w:w="5800"/>
          </w:tcPr>
          <w:p>
            <w:r>
              <w:t xml:space="preserve">Revenue Rs 270 Cr (+102% YoY), OPM 19% (vs 6% YoY), PAT Rs 33.8 Cr (+604% YoY)</w:t>
            </w:r>
          </w:p>
        </w:tc>
      </w:tr>
      <w:tr>
        <w:tc>
          <w:tcPr>
            <w:tcW w:type="dxa" w:w="3200"/>
            <w:shd w:fill="F2F2F2" w:val="clear"/>
          </w:tcPr>
          <w:p>
            <w:r>
              <w:rPr>
                <w:b/>
                <w:bCs/>
              </w:rPr>
              <w:t xml:space="preserve">Promoter holding</w:t>
            </w:r>
          </w:p>
        </w:tc>
        <w:tc>
          <w:tcPr>
            <w:tcW w:type="dxa" w:w="5800"/>
          </w:tcPr>
          <w:p>
            <w:r>
              <w:t xml:space="preserve">52.23% (zero pledge)</w:t>
            </w:r>
          </w:p>
        </w:tc>
      </w:tr>
    </w:tbl>
    <w:p>
      <w:pPr>
        <w:spacing w:after="100"/>
      </w:pPr>
    </w:p>
    <w:p>
      <w:pPr>
        <w:spacing w:after="120"/>
      </w:pPr>
      <w:r>
        <w:t xml:space="preserve">Quality metrics look outstanding on FY26 numbers — ROE ~32%, ROCE ~31%, revenue +45%, PAT +194% — and the stock trades at just ~15x trailing vs a ~41x sector average. The deep read shows why that gap exists: FY26 and Q1 FY27 earnings are heavily silver-price-aided (silver is passed through the topline and drove inventory/hedge and margin gains), quarterly OPM swung from 6% (Q1 FY26) to 25% (Q4 FY26) to 19% (Q1 FY27), and FY26 full-year OPM (~16.3%) is up from ~9.7% in FY25. Critically, FY26 operating cash flow was negative ~Rs 64 Cr (FY25 negative ~Rs 16 Cr): the profit surge has been absorbed by working capital (silver inventory + receivables) and funded by borrowings rising to ~Rs 174 Cr, so on TTM EPS of Rs 31.29 the 15x multiple is on peak, non-cash-backed earnings. The genuine structural elements are real but smaller: a defensible metallurgy + OEM-qualification moat, the DODUCO collaboration, an in-house HV copper-chrome alloy, and commenced HV-contact exports to Europe and Japan into an India T&amp;D-capex + China+1 demand backdrop.</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2026-09-02.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screener.in (consolidated) — FY22-FY26 annual, last 6 quarters, valuation, returns, borrowings, cash flow, shareholding</w:t>
      </w:r>
    </w:p>
    <w:p>
      <w:pPr>
        <w:pStyle w:val="ListParagraph"/>
        <w:numPr>
          <w:ilvl w:val="0"/>
          <w:numId w:val="1"/>
        </w:numPr>
        <w:spacing w:after="60"/>
      </w:pPr>
      <w:r>
        <w:t xml:space="preserve">FY26 results + Q1 FY27 results coverage (whalesbook, scanx, sahi, univest) + Q2/Q3/Q4 FY26 result analyses (marketsmojo)</w:t>
      </w:r>
    </w:p>
    <w:p>
      <w:pPr>
        <w:pStyle w:val="ListParagraph"/>
        <w:numPr>
          <w:ilvl w:val="0"/>
          <w:numId w:val="1"/>
        </w:numPr>
        <w:spacing w:after="60"/>
      </w:pPr>
      <w:r>
        <w:t xml:space="preserve">BSE/NSE announcements to Sep 2026 (Modison HV subsidiary divestment 13 Aug, 43rd AGM 21 Jul, FY26 dividend) + shareholding-pattern trend (Trendlyne)</w:t>
      </w:r>
    </w:p>
    <w:p>
      <w:pPr>
        <w:pStyle w:val="ListParagraph"/>
        <w:numPr>
          <w:ilvl w:val="0"/>
          <w:numId w:val="1"/>
        </w:numPr>
        <w:spacing w:after="60"/>
      </w:pPr>
      <w:r>
        <w:t xml:space="preserve">Business/collaboration context (DODUCO KG collaboration, HV copper-chrome alloy, Europe/Japan HV exports)</w:t>
      </w:r>
    </w:p>
    <w:p>
      <w:pPr>
        <w:spacing w:after="120"/>
      </w:pPr>
      <w:r>
        <w:rPr>
          <w:b/>
          <w:bCs/>
          <w:sz w:val="20"/>
          <w:szCs w:val="20"/>
        </w:rPr>
        <w:t xml:space="preserve">Annual-report findings (3-year view):</w:t>
      </w:r>
    </w:p>
    <w:p>
      <w:pPr>
        <w:pStyle w:val="ListParagraph"/>
        <w:numPr>
          <w:ilvl w:val="0"/>
          <w:numId w:val="1"/>
        </w:numPr>
        <w:spacing w:after="60"/>
      </w:pPr>
      <w:r>
        <w:t xml:space="preserve">Revenue FY24 Rs 405 Cr → FY25 Rs 490 Cr → FY26 Rs 710 Cr (+45%); PAT Rs 21 Cr → Rs 25 Cr → Rs 73 Cr (+194%); FY26 EPS Rs 22.35</w:t>
      </w:r>
    </w:p>
    <w:p>
      <w:pPr>
        <w:pStyle w:val="ListParagraph"/>
        <w:numPr>
          <w:ilvl w:val="0"/>
          <w:numId w:val="1"/>
        </w:numPr>
        <w:spacing w:after="60"/>
      </w:pPr>
      <w:r>
        <w:t xml:space="preserve">FY26 full-year OPM ~16.3% vs ~9.7% FY25 — margin expansion is real but partly silver-aided and partly utilisation</w:t>
      </w:r>
    </w:p>
    <w:p>
      <w:pPr>
        <w:pStyle w:val="ListParagraph"/>
        <w:numPr>
          <w:ilvl w:val="0"/>
          <w:numId w:val="1"/>
        </w:numPr>
        <w:spacing w:after="60"/>
      </w:pPr>
      <w:r>
        <w:t xml:space="preserve">FY26 operating cash flow NEGATIVE ~Rs 64 Cr (FY25 also negative ~Rs 16 Cr); borrowings rose to ~Rs 174 Cr — profit funded by working capital (silver inventory + receivables)</w:t>
      </w:r>
    </w:p>
    <w:p>
      <w:pPr>
        <w:pStyle w:val="ListParagraph"/>
        <w:numPr>
          <w:ilvl w:val="0"/>
          <w:numId w:val="1"/>
        </w:numPr>
        <w:spacing w:after="60"/>
      </w:pPr>
      <w:r>
        <w:t xml:space="preserve">Gross block up ~Rs 13 Cr YoY (Rs 76 Cr → Rs 89 Cr) — modest ongoing capex, no large announced expansion</w:t>
      </w:r>
    </w:p>
    <w:p>
      <w:pPr>
        <w:pStyle w:val="ListParagraph"/>
        <w:numPr>
          <w:ilvl w:val="0"/>
          <w:numId w:val="1"/>
        </w:numPr>
        <w:spacing w:after="60"/>
      </w:pPr>
      <w:r>
        <w:t xml:space="preserve">DODUCO KG (Germany) technical collaboration since 1983; in-house copper-chrome alloy developed for HV; HV-contact exports to Europe and Japan commenced</w:t>
      </w:r>
    </w:p>
    <w:p>
      <w:pPr>
        <w:pStyle w:val="ListParagraph"/>
        <w:numPr>
          <w:ilvl w:val="0"/>
          <w:numId w:val="1"/>
        </w:numPr>
        <w:spacing w:after="60"/>
      </w:pPr>
      <w:r>
        <w:t xml:space="preserve">Promoter holding stable ~52.2%, zero pledge; FY26 dividend Rs 3/sh (~25% payout)</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Revenue (Rs Cr): Q1 FY26 134, Q2 145, Q3 144, Q4 287, Q1 FY27 270 — a step-change in H2 FY26</w:t>
      </w:r>
    </w:p>
    <w:p>
      <w:pPr>
        <w:pStyle w:val="ListParagraph"/>
        <w:numPr>
          <w:ilvl w:val="0"/>
          <w:numId w:val="1"/>
        </w:numPr>
        <w:spacing w:after="60"/>
      </w:pPr>
      <w:r>
        <w:t xml:space="preserve">OPM: Q1 FY26 6% → Q2 13% → Q3 13% → Q4 25% → Q1 FY27 19% — highly volatile, silver-linked</w:t>
      </w:r>
    </w:p>
    <w:p>
      <w:pPr>
        <w:pStyle w:val="ListParagraph"/>
        <w:numPr>
          <w:ilvl w:val="0"/>
          <w:numId w:val="1"/>
        </w:numPr>
        <w:spacing w:after="60"/>
      </w:pPr>
      <w:r>
        <w:t xml:space="preserve">PAT (Rs Cr): Q1 FY26 5 → Q2 12 → Q3 20 → Q4 36 → Q1 FY27 34</w:t>
      </w:r>
    </w:p>
    <w:p>
      <w:pPr>
        <w:pStyle w:val="ListParagraph"/>
        <w:numPr>
          <w:ilvl w:val="0"/>
          <w:numId w:val="1"/>
        </w:numPr>
        <w:spacing w:after="60"/>
      </w:pPr>
      <w:r>
        <w:t xml:space="preserve">Q1 FY27 carried a small Rs 0.28 Cr exceptional loss on MTM of forward/silver hedges</w:t>
      </w:r>
    </w:p>
    <w:p>
      <w:pPr>
        <w:pStyle w:val="ListParagraph"/>
        <w:numPr>
          <w:ilvl w:val="0"/>
          <w:numId w:val="1"/>
        </w:numPr>
        <w:spacing w:after="60"/>
      </w:pPr>
      <w:r>
        <w:t xml:space="preserve">Analyst framing: OPM held ~19% in Q1 FY27 even as silver moderated from peak — suggests a partial structural cost-efficiency component, not purely commodity</w:t>
      </w:r>
    </w:p>
    <w:p>
      <w:pPr>
        <w:spacing w:after="120"/>
      </w:pPr>
      <w:r>
        <w:rPr>
          <w:b/>
          <w:bCs/>
          <w:sz w:val="20"/>
          <w:szCs w:val="20"/>
        </w:rPr>
        <w:t xml:space="preserve">Exchange announcements (last 6 months):</w:t>
      </w:r>
    </w:p>
    <w:p>
      <w:pPr>
        <w:pStyle w:val="ListParagraph"/>
        <w:numPr>
          <w:ilvl w:val="0"/>
          <w:numId w:val="1"/>
        </w:numPr>
        <w:spacing w:after="60"/>
      </w:pPr>
      <w:r>
        <w:t xml:space="preserve">13 Aug 2026: board approved sale of 100% of subsidiary Modison HV Pvt Ltd to promoter-group buyers for Rs 27.68 lakh (completion by 12 Sep 2026) — minor related-party disposal</w:t>
      </w:r>
    </w:p>
    <w:p>
      <w:pPr>
        <w:pStyle w:val="ListParagraph"/>
        <w:numPr>
          <w:ilvl w:val="0"/>
          <w:numId w:val="1"/>
        </w:numPr>
        <w:spacing w:after="60"/>
      </w:pPr>
      <w:r>
        <w:t xml:space="preserve">21 Jul 2026: 43rd AGM held via VC; FY26 final dividend Rs 3/sh (ex-date 14 Jul)</w:t>
      </w:r>
    </w:p>
    <w:p>
      <w:pPr>
        <w:pStyle w:val="ListParagraph"/>
        <w:numPr>
          <w:ilvl w:val="0"/>
          <w:numId w:val="1"/>
        </w:numPr>
        <w:spacing w:after="60"/>
      </w:pPr>
      <w:r>
        <w:t xml:space="preserve">Aug 2026: Q1 FY27 results — revenue +102% YoY, PAT +604% YoY</w:t>
      </w:r>
    </w:p>
    <w:p>
      <w:pPr>
        <w:pStyle w:val="ListParagraph"/>
        <w:numPr>
          <w:ilvl w:val="0"/>
          <w:numId w:val="1"/>
        </w:numPr>
        <w:spacing w:after="60"/>
      </w:pPr>
      <w:r>
        <w:t xml:space="preserve">No fund-raise, rating action or pledge; modest capex only</w:t>
      </w:r>
    </w:p>
    <w:p>
      <w:pPr>
        <w:spacing w:after="120"/>
      </w:pPr>
      <w:r>
        <w:rPr>
          <w:b/>
          <w:bCs/>
          <w:sz w:val="20"/>
          <w:szCs w:val="20"/>
        </w:rPr>
        <w:t xml:space="preserve">Key new facts vs. the prior write-up:</w:t>
      </w:r>
    </w:p>
    <w:p>
      <w:pPr>
        <w:pStyle w:val="ListParagraph"/>
        <w:numPr>
          <w:ilvl w:val="0"/>
          <w:numId w:val="1"/>
        </w:numPr>
        <w:spacing w:after="60"/>
      </w:pPr>
      <w:r>
        <w:t xml:space="preserve">FY26 AND FY25 operating cash flow both negative — the profit inflection is not cash-backed; borrowings up to ~Rs 174 Cr to fund silver working capital</w:t>
      </w:r>
    </w:p>
    <w:p>
      <w:pPr>
        <w:pStyle w:val="ListParagraph"/>
        <w:numPr>
          <w:ilvl w:val="0"/>
          <w:numId w:val="1"/>
        </w:numPr>
        <w:spacing w:after="60"/>
      </w:pPr>
      <w:r>
        <w:t xml:space="preserve">Quarterly OPM swung 6% → 25% → 19% in five quarters — margin is heavily silver-price and utilisation dependent</w:t>
      </w:r>
    </w:p>
    <w:p>
      <w:pPr>
        <w:pStyle w:val="ListParagraph"/>
        <w:numPr>
          <w:ilvl w:val="0"/>
          <w:numId w:val="1"/>
        </w:numPr>
        <w:spacing w:after="60"/>
      </w:pPr>
      <w:r>
        <w:t xml:space="preserve">HV-contact exports to Europe and Japan have actually commenced (own copper-chrome alloy) — a genuine, if still small, capability-ladder step</w:t>
      </w:r>
    </w:p>
    <w:p>
      <w:pPr>
        <w:pStyle w:val="ListParagraph"/>
        <w:numPr>
          <w:ilvl w:val="0"/>
          <w:numId w:val="1"/>
        </w:numPr>
        <w:spacing w:after="60"/>
      </w:pPr>
      <w:r>
        <w:t xml:space="preserve">Modison HV Pvt Ltd subsidiary sold to promoter-group buyers at a token value — RPT governance data-point</w:t>
      </w:r>
    </w:p>
    <w:p>
      <w:pPr>
        <w:pStyle w:val="ListParagraph"/>
        <w:numPr>
          <w:ilvl w:val="0"/>
          <w:numId w:val="1"/>
        </w:numPr>
        <w:spacing w:after="60"/>
      </w:pPr>
      <w:r>
        <w:t xml:space="preserve">The ~15x P/E is on peak, silver-aided EPS; normalised multiple is closer to ~21-28x</w:t>
      </w:r>
    </w:p>
    <w:p>
      <w:pPr>
        <w:spacing w:after="120"/>
      </w:pPr>
      <w:r>
        <w:rPr>
          <w:b/>
          <w:bCs/>
          <w:sz w:val="20"/>
          <w:szCs w:val="20"/>
        </w:rPr>
        <w:t xml:space="preserve">Open questions / what to watch:</w:t>
      </w:r>
    </w:p>
    <w:p>
      <w:pPr>
        <w:pStyle w:val="ListParagraph"/>
        <w:numPr>
          <w:ilvl w:val="0"/>
          <w:numId w:val="1"/>
        </w:numPr>
        <w:spacing w:after="60"/>
      </w:pPr>
      <w:r>
        <w:t xml:space="preserve">How much of FY26 revenue growth is silver-price pass-through vs volume? (concall/AR segment volume data not obtained this pass)</w:t>
      </w:r>
    </w:p>
    <w:p>
      <w:pPr>
        <w:pStyle w:val="ListParagraph"/>
        <w:numPr>
          <w:ilvl w:val="0"/>
          <w:numId w:val="1"/>
        </w:numPr>
        <w:spacing w:after="60"/>
      </w:pPr>
      <w:r>
        <w:t xml:space="preserve">Does operating cash flow turn positive in FY27 as working capital normalises, or does silver keep absorbing it?</w:t>
      </w:r>
    </w:p>
    <w:p>
      <w:pPr>
        <w:pStyle w:val="ListParagraph"/>
        <w:numPr>
          <w:ilvl w:val="0"/>
          <w:numId w:val="1"/>
        </w:numPr>
        <w:spacing w:after="60"/>
      </w:pPr>
      <w:r>
        <w:t xml:space="preserve">What is the through-cycle OPM management is comfortable guiding to — 16-17% or higher?</w:t>
      </w:r>
    </w:p>
    <w:p>
      <w:pPr>
        <w:pStyle w:val="ListParagraph"/>
        <w:numPr>
          <w:ilvl w:val="0"/>
          <w:numId w:val="1"/>
        </w:numPr>
        <w:spacing w:after="60"/>
      </w:pPr>
      <w:r>
        <w:t xml:space="preserve">Size and margin of the HV/Europe/Japan export book, and its ramp trajectory</w:t>
      </w:r>
    </w:p>
    <w:p>
      <w:pPr>
        <w:pStyle w:val="ListParagraph"/>
        <w:numPr>
          <w:ilvl w:val="0"/>
          <w:numId w:val="1"/>
        </w:numPr>
        <w:spacing w:after="60"/>
      </w:pPr>
      <w:r>
        <w:t xml:space="preserve">Rationale and valuation basis for the promoter-group sale of Modison HV Pvt Ltd</w:t>
      </w:r>
    </w:p>
    <w:p>
      <w:pPr>
        <w:spacing w:after="120" w:before="120"/>
      </w:pPr>
      <w:r>
        <w:rPr>
          <w:b/>
          <w:bCs/>
          <w:sz w:val="20"/>
          <w:szCs w:val="20"/>
        </w:rPr>
        <w:t xml:space="preserve">Conviction impact: </w:t>
      </w:r>
      <w:r>
        <w:rPr>
          <w:sz w:val="20"/>
          <w:szCs w:val="20"/>
        </w:rPr>
        <w:t xml:space="preserve">Medium-High -&gt; Medium. The moat and T&amp;D-capex tailwind are corroborated, but the deep read showed FY26/Q1 FY27 earnings are silver-cycle-aided with negative operating cash flow and working-capital-funded growth, and the low headline P/E is on peak earnings; no red flag and strong trusted diligence hold it at Medium.</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HV-contact exports to Europe and Japan using in-house copper-chrome alloy</w:t>
            </w:r>
          </w:p>
        </w:tc>
        <w:tc>
          <w:tcPr>
            <w:tcW w:type="dxa" w:w="2400"/>
          </w:tcPr>
          <w:p>
            <w:r>
              <w:rPr>
                <w:b w:val="false"/>
                <w:bCs w:val="false"/>
                <w:sz w:val="18"/>
                <w:szCs w:val="18"/>
              </w:rPr>
              <w:t xml:space="preserve">own alloy developed; exports commenced</w:t>
            </w:r>
          </w:p>
        </w:tc>
        <w:tc>
          <w:tcPr>
            <w:tcW w:type="dxa" w:w="900"/>
          </w:tcPr>
          <w:p>
            <w:r>
              <w:rPr>
                <w:b w:val="false"/>
                <w:bCs w:val="false"/>
                <w:sz w:val="18"/>
                <w:szCs w:val="18"/>
              </w:rPr>
              <w:t xml:space="preserve">FY27</w:t>
            </w:r>
          </w:p>
        </w:tc>
        <w:tc>
          <w:tcPr>
            <w:tcW w:type="dxa" w:w="1200"/>
          </w:tcPr>
          <w:p>
            <w:r>
              <w:rPr>
                <w:b w:val="false"/>
                <w:bCs w:val="false"/>
                <w:sz w:val="18"/>
                <w:szCs w:val="18"/>
              </w:rPr>
              <w:t xml:space="preserve">commercial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margin</w:t>
            </w:r>
          </w:p>
        </w:tc>
        <w:tc>
          <w:tcPr>
            <w:tcW w:type="dxa" w:w="2600"/>
          </w:tcPr>
          <w:p>
            <w:r>
              <w:rPr>
                <w:b w:val="false"/>
                <w:bCs w:val="false"/>
                <w:sz w:val="18"/>
                <w:szCs w:val="18"/>
              </w:rPr>
              <w:t xml:space="preserve">operating margin sustaining ~18-20% through the silver cycle</w:t>
            </w:r>
          </w:p>
        </w:tc>
        <w:tc>
          <w:tcPr>
            <w:tcW w:type="dxa" w:w="2400"/>
          </w:tcPr>
          <w:p>
            <w:r>
              <w:rPr>
                <w:b w:val="false"/>
                <w:bCs w:val="false"/>
                <w:sz w:val="18"/>
                <w:szCs w:val="18"/>
              </w:rPr>
              <w:t xml:space="preserve">vs FY26 full-year ~16.3%, Q1 FY27 ~19%, Q4 FY26 ~25%</w:t>
            </w:r>
          </w:p>
        </w:tc>
        <w:tc>
          <w:tcPr>
            <w:tcW w:type="dxa" w:w="900"/>
          </w:tcPr>
          <w:p>
            <w:r>
              <w:rPr>
                <w:b w:val="false"/>
                <w:bCs w:val="false"/>
                <w:sz w:val="18"/>
                <w:szCs w:val="18"/>
              </w:rPr>
              <w:t xml:space="preserve">FY27</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capex</w:t>
            </w:r>
          </w:p>
        </w:tc>
        <w:tc>
          <w:tcPr>
            <w:tcW w:type="dxa" w:w="2600"/>
          </w:tcPr>
          <w:p>
            <w:r>
              <w:rPr>
                <w:b w:val="false"/>
                <w:bCs w:val="false"/>
                <w:sz w:val="18"/>
                <w:szCs w:val="18"/>
              </w:rPr>
              <w:t xml:space="preserve">ongoing modest capacity expansion</w:t>
            </w:r>
          </w:p>
        </w:tc>
        <w:tc>
          <w:tcPr>
            <w:tcW w:type="dxa" w:w="2400"/>
          </w:tcPr>
          <w:p>
            <w:r>
              <w:rPr>
                <w:b w:val="false"/>
                <w:bCs w:val="false"/>
                <w:sz w:val="18"/>
                <w:szCs w:val="18"/>
              </w:rPr>
              <w:t xml:space="preserve">gross block Rs 76 Cr -&gt; Rs 89 Cr YoY in FY26</w:t>
            </w:r>
          </w:p>
        </w:tc>
        <w:tc>
          <w:tcPr>
            <w:tcW w:type="dxa" w:w="900"/>
          </w:tcPr>
          <w:p>
            <w:r>
              <w:rPr>
                <w:b w:val="false"/>
                <w:bCs w:val="false"/>
                <w:sz w:val="18"/>
                <w:szCs w:val="18"/>
              </w:rPr>
              <w:t xml:space="preserve">FY27</w:t>
            </w:r>
          </w:p>
        </w:tc>
        <w:tc>
          <w:tcPr>
            <w:tcW w:type="dxa" w:w="1200"/>
          </w:tcPr>
          <w:p>
            <w:r>
              <w:rPr>
                <w:b w:val="false"/>
                <w:bCs w:val="false"/>
                <w:sz w:val="18"/>
                <w:szCs w:val="18"/>
              </w:rPr>
              <w:t xml:space="preserve">action</w:t>
            </w:r>
          </w:p>
        </w:tc>
        <w:tc>
          <w:tcPr>
            <w:tcW w:type="dxa" w:w="800"/>
          </w:tcPr>
          <w:p>
            <w:r>
              <w:rPr>
                <w:b w:val="false"/>
                <w:bCs w:val="false"/>
                <w:sz w:val="18"/>
                <w:szCs w:val="18"/>
              </w:rPr>
              <w:t xml:space="preserve"/>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Rs 1,000 Cr revenue by 2030</w:t>
            </w:r>
          </w:p>
        </w:tc>
        <w:tc>
          <w:tcPr>
            <w:tcW w:type="dxa" w:w="2400"/>
          </w:tcPr>
          <w:p>
            <w:r>
              <w:rPr>
                <w:b w:val="false"/>
                <w:bCs w:val="false"/>
                <w:sz w:val="18"/>
                <w:szCs w:val="18"/>
              </w:rPr>
              <w:t xml:space="preserve">vs FY26 ~Rs 710 Cr</w:t>
            </w:r>
          </w:p>
        </w:tc>
        <w:tc>
          <w:tcPr>
            <w:tcW w:type="dxa" w:w="900"/>
          </w:tcPr>
          <w:p>
            <w:r>
              <w:rPr>
                <w:b w:val="false"/>
                <w:bCs w:val="false"/>
                <w:sz w:val="18"/>
                <w:szCs w:val="18"/>
              </w:rPr>
              <w:t xml:space="preserve">beyond</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India T&amp;D capex + China+1 export demand</w:t>
      </w:r>
      <w:r>
        <w:rPr>
          <w:color w:val="666666"/>
          <w:sz w:val="20"/>
          <w:szCs w:val="20"/>
        </w:rPr>
        <w:t xml:space="preserve"> → </w:t>
      </w:r>
      <w:r>
        <w:rPr>
          <w:b w:val="false"/>
          <w:bCs w:val="false"/>
          <w:sz w:val="20"/>
          <w:szCs w:val="20"/>
        </w:rPr>
        <w:t xml:space="preserve">contact-material volume + capacity utilisation</w:t>
      </w:r>
      <w:r>
        <w:rPr>
          <w:color w:val="666666"/>
          <w:sz w:val="20"/>
          <w:szCs w:val="20"/>
        </w:rPr>
        <w:t xml:space="preserve"> → </w:t>
      </w:r>
      <w:r>
        <w:rPr>
          <w:b w:val="false"/>
          <w:bCs w:val="false"/>
          <w:sz w:val="20"/>
          <w:szCs w:val="20"/>
        </w:rPr>
        <w:t xml:space="preserve">silver price (topline pass-through + inventory/hedge)</w:t>
      </w:r>
      <w:r>
        <w:rPr>
          <w:color w:val="666666"/>
          <w:sz w:val="20"/>
          <w:szCs w:val="20"/>
        </w:rPr>
        <w:t xml:space="preserve"> → </w:t>
      </w:r>
      <w:r>
        <w:rPr>
          <w:b w:val="false"/>
          <w:bCs w:val="false"/>
          <w:sz w:val="20"/>
          <w:szCs w:val="20"/>
        </w:rPr>
        <w:t xml:space="preserve">gross margin</w:t>
      </w:r>
      <w:r>
        <w:rPr>
          <w:color w:val="666666"/>
          <w:sz w:val="20"/>
          <w:szCs w:val="20"/>
        </w:rPr>
        <w:t xml:space="preserve"> → </w:t>
      </w:r>
      <w:r>
        <w:rPr>
          <w:b w:val="false"/>
          <w:bCs w:val="false"/>
          <w:sz w:val="20"/>
          <w:szCs w:val="20"/>
        </w:rPr>
        <w:t xml:space="preserve">operating leverage</w:t>
      </w:r>
      <w:r>
        <w:rPr>
          <w:color w:val="666666"/>
          <w:sz w:val="20"/>
          <w:szCs w:val="20"/>
        </w:rPr>
        <w:t xml:space="preserve"> → </w:t>
      </w:r>
      <w:r>
        <w:rPr>
          <w:b w:val="false"/>
          <w:bCs w:val="false"/>
          <w:sz w:val="20"/>
          <w:szCs w:val="20"/>
        </w:rPr>
        <w:t xml:space="preserve">operating margin (~16-20%)</w:t>
      </w:r>
      <w:r>
        <w:rPr>
          <w:color w:val="666666"/>
          <w:sz w:val="20"/>
          <w:szCs w:val="20"/>
        </w:rPr>
        <w:t xml:space="preserve"> → </w:t>
      </w:r>
      <w:r>
        <w:rPr>
          <w:b w:val="false"/>
          <w:bCs w:val="false"/>
          <w:sz w:val="20"/>
          <w:szCs w:val="20"/>
        </w:rPr>
        <w:t xml:space="preserve">PAT</w:t>
      </w:r>
      <w:r>
        <w:rPr>
          <w:color w:val="666666"/>
          <w:sz w:val="20"/>
          <w:szCs w:val="20"/>
        </w:rPr>
        <w:t xml:space="preserve"> → </w:t>
      </w:r>
      <w:r>
        <w:rPr>
          <w:b w:val="false"/>
          <w:bCs w:val="false"/>
          <w:sz w:val="20"/>
          <w:szCs w:val="20"/>
        </w:rPr>
        <w:t xml:space="preserve">working-capital drag -&gt; FCF</w:t>
      </w:r>
    </w:p>
    <w:p>
      <w:pPr>
        <w:spacing w:after="120"/>
      </w:pPr>
      <w:r>
        <w:rPr>
          <w:color w:val="666666"/>
          <w:sz w:val="18"/>
          <w:szCs w:val="18"/>
        </w:rPr>
        <w:t xml:space="preserve">Bottleneck link: capacity utilisation + working-capital funding (silver inventory).</w:t>
      </w:r>
    </w:p>
    <w:p>
      <w:pPr>
        <w:spacing w:after="120"/>
      </w:pPr>
      <w:r>
        <w:rPr>
          <w:color w:val="666666"/>
          <w:sz w:val="18"/>
          <w:szCs w:val="18"/>
        </w:rPr>
        <w:t xml:space="preserve">Operating leverage: yes — OPM went 6% -&gt; 25% -&gt; 19% across five quarters on volume, utilisation and silver, but the leverage is amplified by the commodity swing and is not yet converting to cash</w:t>
      </w:r>
    </w:p>
    <w:p>
      <w:pPr>
        <w:spacing w:after="120"/>
      </w:pPr>
      <w:r>
        <w:rPr>
          <w:color w:val="666666"/>
          <w:sz w:val="18"/>
          <w:szCs w:val="18"/>
        </w:rPr>
        <w:t xml:space="preserve">Evidenced: India T&amp;D capex + China+1 export demand; contact-material volume + capacity utilisation; operating margin (~16-20%); PAT. Still assumed: silver price stability; operating leverage sustaining; working-capital drag easing -&gt; FCF.</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2026-09-02</w:t>
            </w:r>
          </w:p>
        </w:tc>
      </w:tr>
      <w:tr>
        <w:tc>
          <w:tcPr>
            <w:tcW w:type="dxa" w:w="3200"/>
            <w:shd w:fill="F2F2F2" w:val="clear"/>
          </w:tcPr>
          <w:p>
            <w:r>
              <w:rPr>
                <w:b/>
                <w:bCs/>
              </w:rPr>
              <w:t xml:space="preserve">Price / multiple</w:t>
            </w:r>
          </w:p>
        </w:tc>
        <w:tc>
          <w:tcPr>
            <w:tcW w:type="dxa" w:w="5800"/>
          </w:tcPr>
          <w:p>
            <w:r>
              <w:t xml:space="preserve">Rs 499 · 15.1x P/E · 11x EV/EBITDA</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~15x on TTM EPS Rs 31 that embeds peak (~25% Q4) margins and a silver windfall; on a normalised EPS of ~Rs 18-24 the effective multiple is ~21-28x, implying the market already expects ~20-25% EPS CAGR FY26-28 with OPM holding near 18-20%</w:t>
            </w:r>
          </w:p>
        </w:tc>
      </w:tr>
      <w:tr>
        <w:tc>
          <w:tcPr>
            <w:tcW w:type="dxa" w:w="3200"/>
            <w:shd w:fill="F2F2F2" w:val="clear"/>
          </w:tcPr>
          <w:p>
            <w:r>
              <w:rPr>
                <w:b/>
                <w:bCs/>
              </w:rPr>
              <w:t xml:space="preserve">Our FY27</w:t>
            </w:r>
          </w:p>
        </w:tc>
        <w:tc>
          <w:tcPr>
            <w:tcW w:type="dxa" w:w="5800"/>
          </w:tcPr>
          <w:p>
            <w:r>
              <w:t xml:space="preserve">revenue ~Rs 950-1,100 Cr (silver-aided), OPM ~17-19%, PAT ~Rs 90-115 Cr — roughly flat-to-modestly-up on the silver-boosted TTM</w:t>
            </w:r>
          </w:p>
        </w:tc>
      </w:tr>
      <w:tr>
        <w:tc>
          <w:tcPr>
            <w:tcW w:type="dxa" w:w="3200"/>
            <w:shd w:fill="F2F2F2" w:val="clear"/>
          </w:tcPr>
          <w:p>
            <w:r>
              <w:rPr>
                <w:b/>
                <w:bCs/>
              </w:rPr>
              <w:t xml:space="preserve">Our FY28</w:t>
            </w:r>
          </w:p>
        </w:tc>
        <w:tc>
          <w:tcPr>
            <w:tcW w:type="dxa" w:w="5800"/>
          </w:tcPr>
          <w:p>
            <w:r>
              <w:t xml:space="preserve">structural volume growth from T&amp;D capex + HV/exports could lift PAT to ~Rs 120-150 Cr IF silver is stable and working capital normalises; a silver reversal could cut PAT 30-40%</w:t>
            </w:r>
          </w:p>
        </w:tc>
      </w:tr>
      <w:tr>
        <w:tc>
          <w:tcPr>
            <w:tcW w:type="dxa" w:w="3200"/>
            <w:shd w:fill="F2F2F2" w:val="clear"/>
          </w:tcPr>
          <w:p>
            <w:r>
              <w:rPr>
                <w:b/>
                <w:bCs/>
              </w:rPr>
              <w:t xml:space="preserve">Gap direction</w:t>
            </w:r>
          </w:p>
        </w:tc>
        <w:tc>
          <w:tcPr>
            <w:tcW w:type="dxa" w:w="5800"/>
          </w:tcPr>
          <w:p>
            <w:r>
              <w:t xml:space="preserve">priced-in</w:t>
            </w:r>
          </w:p>
        </w:tc>
      </w:tr>
      <w:tr>
        <w:tc>
          <w:tcPr>
            <w:tcW w:type="dxa" w:w="3200"/>
            <w:shd w:fill="F2F2F2" w:val="clear"/>
          </w:tcPr>
          <w:p>
            <w:r>
              <w:rPr>
                <w:b/>
                <w:bCs/>
              </w:rPr>
              <w:t xml:space="preserve">Gap type</w:t>
            </w:r>
          </w:p>
        </w:tc>
        <w:tc>
          <w:tcPr>
            <w:tcW w:type="dxa" w:w="5800"/>
          </w:tcPr>
          <w:p>
            <w:r>
              <w:t xml:space="preserve">margin</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the low headline P/E is on peak, silver-aided earnings with negative FCF; normalised multiple is ~21-28x, which already discounts continued ~20% growth. Structural demand is real but cash conversion and commodity risk cap the upside.</w:t>
            </w:r>
          </w:p>
        </w:tc>
      </w:tr>
      <w:tr>
        <w:tc>
          <w:tcPr>
            <w:tcW w:type="dxa" w:w="3200"/>
            <w:shd w:fill="F2F2F2" w:val="clear"/>
          </w:tcPr>
          <w:p>
            <w:r>
              <w:rPr>
                <w:b/>
                <w:bCs/>
              </w:rPr>
              <w:t xml:space="preserve">Evidence quality</w:t>
            </w:r>
          </w:p>
        </w:tc>
        <w:tc>
          <w:tcPr>
            <w:tcW w:type="dxa" w:w="5800"/>
          </w:tcPr>
          <w:p>
            <w:r>
              <w:t xml:space="preserve">moderate</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Q2/Q3 FY27 prints showing whether ~18-20% OPM holds as silver moderates and whether operating cash flow turns positive; visible ramp of HV-contact exports to Europe/Japan</w:t>
      </w:r>
      <w:r>
        <w:rPr>
          <w:color w:val="666666"/>
          <w:sz w:val="18"/>
          <w:szCs w:val="18"/>
        </w:rPr>
        <w:t xml:space="preserve"> (window ~6M from 2026-09-02; undated; evidence med; pending)</w:t>
      </w:r>
    </w:p>
    <w:p>
      <w:pPr>
        <w:pStyle w:val="Heading1"/>
        <w:spacing w:after="120" w:before="280"/>
      </w:pPr>
      <w:r>
        <w:t xml:space="preserve">Ishmohit-Lens Checks (value chain · earnings quality · growth trajectory · management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electrical switchgear contact materials (T&amp;D + industrial capex cycle)</w:t>
            </w:r>
          </w:p>
        </w:tc>
      </w:tr>
      <w:tr>
        <w:tc>
          <w:tcPr>
            <w:tcW w:type="dxa" w:w="3200"/>
            <w:shd w:fill="F2F2F2" w:val="clear"/>
          </w:tcPr>
          <w:p>
            <w:r>
              <w:rPr>
                <w:b/>
                <w:bCs/>
              </w:rPr>
              <w:t xml:space="preserve">This company's position</w:t>
            </w:r>
          </w:p>
        </w:tc>
        <w:tc>
          <w:tcPr>
            <w:tcW w:type="dxa" w:w="5800"/>
          </w:tcPr>
          <w:p>
            <w:r>
              <w:t xml:space="preserve">global-niche maker of silver/copper electrical contacts and contact materials for LV/MV/HV switchgear; DODUCO KG (Germany) technical collaboration since 1983; supplies major domestic and global switchgear OEMs</w:t>
            </w:r>
          </w:p>
        </w:tc>
      </w:tr>
      <w:tr>
        <w:tc>
          <w:tcPr>
            <w:tcW w:type="dxa" w:w="3200"/>
            <w:shd w:fill="F2F2F2" w:val="clear"/>
          </w:tcPr>
          <w:p>
            <w:r>
              <w:rPr>
                <w:b/>
                <w:bCs/>
              </w:rPr>
              <w:t xml:space="preserve">Bottleneck node (pricing power)</w:t>
            </w:r>
          </w:p>
        </w:tc>
        <w:tc>
          <w:tcPr>
            <w:tcW w:type="dxa" w:w="5800"/>
          </w:tcPr>
          <w:p>
            <w:r>
              <w:t xml:space="preserve">specialised contact-material metallurgy + OEM qualification (high switching cost); silver feedstock is a pass-through commodity</w:t>
            </w:r>
          </w:p>
        </w:tc>
      </w:tr>
      <w:tr>
        <w:tc>
          <w:tcPr>
            <w:tcW w:type="dxa" w:w="3200"/>
            <w:shd w:fill="F2F2F2" w:val="clear"/>
          </w:tcPr>
          <w:p>
            <w:r>
              <w:rPr>
                <w:b/>
                <w:bCs/>
              </w:rPr>
              <w:t xml:space="preserve">Supply-side status</w:t>
            </w:r>
          </w:p>
        </w:tc>
        <w:tc>
          <w:tcPr>
            <w:tcW w:type="dxa" w:w="5800"/>
          </w:tcPr>
          <w:p>
            <w:r>
              <w:t xml:space="preserve">consolidating</w:t>
            </w:r>
          </w:p>
        </w:tc>
      </w:tr>
      <w:tr>
        <w:tc>
          <w:tcPr>
            <w:tcW w:type="dxa" w:w="3200"/>
            <w:shd w:fill="F2F2F2" w:val="clear"/>
          </w:tcPr>
          <w:p>
            <w:r>
              <w:rPr>
                <w:b/>
                <w:bCs/>
              </w:rPr>
              <w:t xml:space="preserve">Adjacent-node peers</w:t>
            </w:r>
          </w:p>
        </w:tc>
        <w:tc>
          <w:tcPr>
            <w:tcW w:type="dxa" w:w="5800"/>
          </w:tcPr>
          <w:p>
            <w:r>
              <w:t xml:space="preserve">DODUCO (Germany, licensor), Umicore (contact materials), Metalor, captive units of ABB / Siemens / Schneider</w:t>
            </w:r>
          </w:p>
        </w:tc>
      </w:tr>
    </w:tbl>
    <w:p>
      <w:pPr>
        <w:spacing w:after="120"/>
      </w:pPr>
      <w:r>
        <w:rPr>
          <w:color w:val="666666"/>
          <w:sz w:val="18"/>
          <w:szCs w:val="18"/>
        </w:rPr>
        <w:t xml:space="preserve">Genuine barrier/consolidation position — metallurgical know-how plus OEM qualification lock-in, very few global one-roof LV/MV/HV players. The vulnerability is not competition but the silver-price cycle flowing simultaneously through revenue, margin and working capital.</w:t>
      </w:r>
    </w:p>
    <w:p>
      <w:pPr>
        <w:spacing w:after="60" w:before="120"/>
      </w:pPr>
      <w:r>
        <w:rPr>
          <w:b/>
          <w:bCs/>
          <w:sz w:val="20"/>
          <w:szCs w:val="20"/>
        </w:rPr>
        <w:t xml:space="preserve">Earnings quality: </w:t>
      </w:r>
      <w:r>
        <w:rPr>
          <w:sz w:val="20"/>
          <w:szCs w:val="20"/>
        </w:rPr>
        <w:t xml:space="preserve">margin driver mixed</w:t>
      </w:r>
      <w:r>
        <w:rPr>
          <w:b/>
          <w:bCs/>
          <w:color w:val="A32020"/>
          <w:sz w:val="20"/>
          <w:szCs w:val="20"/>
        </w:rPr>
        <w:t xml:space="preserve">  — PEAK-MARGIN RISK: do not capitalise current margins</w:t>
      </w:r>
    </w:p>
    <w:p>
      <w:pPr>
        <w:spacing w:after="120"/>
      </w:pPr>
      <w:r>
        <w:rPr>
          <w:color w:val="666666"/>
          <w:sz w:val="18"/>
          <w:szCs w:val="18"/>
        </w:rPr>
        <w:t xml:space="preserve">Drivers: silver price (topline pass-through + inventory/hedge gains); capacity utilisation / operating leverage; product mix (HV, value-added contacts, exports); China+1 export demand.</w:t>
      </w:r>
    </w:p>
    <w:p>
      <w:pPr>
        <w:spacing w:after="120"/>
      </w:pPr>
      <w:r>
        <w:rPr>
          <w:color w:val="666666"/>
          <w:sz w:val="18"/>
          <w:szCs w:val="18"/>
        </w:rPr>
        <w:t xml:space="preserve">FY26 full-year OPM ~16.3% (up from ~9.7% FY25); quarterly OPM swung 6% (Q1 FY26) → 25% (Q4 FY26) → 19% (Q1 FY27). A defensible through-cycle OPM is ~14-17%; Q4 FY26's 25% was silver-aided and is not a base. Crucially, FY26 and FY25 both had NEGATIVE operating cash flow — reported profit has not converted to cash; working capital (silver inventory + receivables) absorbed it and borrowings rose to ~Rs 174 Cr.</w:t>
      </w:r>
    </w:p>
    <w:p>
      <w:pPr>
        <w:spacing w:after="60" w:before="120"/>
      </w:pPr>
      <w:r>
        <w:rPr>
          <w:b/>
          <w:bCs/>
          <w:sz w:val="20"/>
          <w:szCs w:val="20"/>
        </w:rPr>
        <w:t xml:space="preserve">Growth trajectory: </w:t>
      </w:r>
      <w:r>
        <w:rPr>
          <w:b w:val="false"/>
          <w:bCs w:val="false"/>
          <w:sz w:val="20"/>
          <w:szCs w:val="20"/>
        </w:rPr>
        <w:t xml:space="preserve">YoY growth rate is accelerating</w:t>
      </w:r>
    </w:p>
    <w:p>
      <w:pPr>
        <w:spacing w:after="120"/>
      </w:pPr>
      <w:r>
        <w:rPr>
          <w:color w:val="666666"/>
          <w:sz w:val="18"/>
          <w:szCs w:val="18"/>
        </w:rPr>
        <w:t xml:space="preserve">Revenue YoY accelerated through FY26 to Q4 FY26 +121% and Q1 FY27 +102%; FY26 full-year revenue +45%, PAT +194%. Growth is real but amplified by silver-price pass-through on the topline and by margin/inventory gains — underlying volume growth is a smaller (double-digit) number.</w:t>
      </w:r>
    </w:p>
    <w:p>
      <w:pPr>
        <w:spacing w:after="120"/>
      </w:pPr>
      <w:r>
        <w:rPr>
          <w:color w:val="666666"/>
          <w:sz w:val="18"/>
          <w:szCs w:val="18"/>
        </w:rPr>
        <w:t xml:space="preserve">Reverse P/E: 15x trailing looks cheap only because EPS is silver-peak-aided; on normalised EPS (~Rs 18-24) the multiple is ~21-28x, which needs ~20%+ EPS CAGR — plausible on the T&amp;D-capex tailwind but not a bargain.</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Capital allocation</w:t>
            </w:r>
          </w:p>
        </w:tc>
        <w:tc>
          <w:tcPr>
            <w:tcW w:type="dxa" w:w="5800"/>
          </w:tcPr>
          <w:p>
            <w:r>
              <w:t xml:space="preserve">ROCE ~31% / ROE ~32% on FY26 numbers but flattered by the margin/silver upcycle; growth funded by working capital and rising debt (borrowings to ~Rs 174 Cr; FY26 CFO negative ~Rs 64 Cr). Dividend payout ~25%. Aug-2026: sold 100% of subsidiary Modison HV Pvt Ltd to promoter-group buyers for a token Rs 27.68 lakh — a related-party disposal, small in value but a governance data-point.</w:t>
            </w:r>
          </w:p>
        </w:tc>
      </w:tr>
      <w:tr>
        <w:tc>
          <w:tcPr>
            <w:tcW w:type="dxa" w:w="3200"/>
            <w:shd w:fill="F2F2F2" w:val="clear"/>
          </w:tcPr>
          <w:p>
            <w:r>
              <w:rPr>
                <w:b/>
                <w:bCs/>
              </w:rPr>
              <w:t xml:space="preserve">Related-party trend</w:t>
            </w:r>
          </w:p>
        </w:tc>
        <w:tc>
          <w:tcPr>
            <w:tcW w:type="dxa" w:w="5800"/>
          </w:tcPr>
          <w:p>
            <w:r>
              <w:t xml:space="preserve">flat</w:t>
            </w:r>
          </w:p>
        </w:tc>
      </w:tr>
      <w:tr>
        <w:tc>
          <w:tcPr>
            <w:tcW w:type="dxa" w:w="3200"/>
            <w:shd w:fill="F2F2F2" w:val="clear"/>
          </w:tcPr>
          <w:p>
            <w:r>
              <w:rPr>
                <w:b/>
                <w:bCs/>
              </w:rPr>
              <w:t xml:space="preserve">Guidance credibility</w:t>
            </w:r>
          </w:p>
        </w:tc>
        <w:tc>
          <w:tcPr>
            <w:tcW w:type="dxa" w:w="5800"/>
          </w:tcPr>
          <w:p>
            <w:r>
              <w:t xml:space="preserve">mixed</w:t>
            </w:r>
          </w:p>
        </w:tc>
      </w:tr>
      <w:tr>
        <w:tc>
          <w:tcPr>
            <w:tcW w:type="dxa" w:w="3200"/>
            <w:shd w:fill="F2F2F2" w:val="clear"/>
          </w:tcPr>
          <w:p>
            <w:r>
              <w:rPr>
                <w:b/>
                <w:bCs/>
              </w:rPr>
              <w:t xml:space="preserve">Capability ladder / VAP</w:t>
            </w:r>
          </w:p>
        </w:tc>
        <w:tc>
          <w:tcPr>
            <w:tcW w:type="dxa" w:w="5800"/>
          </w:tcPr>
          <w:p>
            <w:r>
              <w:t xml:space="preserve">Developed in-house copper-chrome alloy for HV contacts and began exporting HV contacts to Europe and Japan — a genuine move up the value curve from LV/MV toward HV and value-added exports.</w:t>
            </w:r>
          </w:p>
        </w:tc>
      </w:tr>
    </w:tbl>
    <w:p>
      <w:pPr>
        <w:pStyle w:val="Heading1"/>
        <w:spacing w:after="120" w:before="280"/>
      </w:pPr>
      <w:r>
        <w:t xml:space="preserve">Technical Read (Weekly / Monthly MACD + Bollinger Bands, or RSI/CCI/Williams %R proxy)</w:t>
      </w:r>
    </w:p>
    <w:p>
      <w:pPr>
        <w:spacing w:after="120"/>
      </w:pPr>
      <w:r>
        <w:t xml:space="preserve">Not pulled this pass — no browser escalation triggered.</w:t>
      </w:r>
    </w:p>
    <w:p>
      <w:pPr>
        <w:pStyle w:val="Heading1"/>
        <w:spacing w:after="120" w:before="280"/>
      </w:pPr>
      <w:r>
        <w:t xml:space="preserve">ValuePickr Community Signal</w:t>
      </w:r>
    </w:p>
    <w:p>
      <w:pPr>
        <w:spacing w:after="120"/>
      </w:pPr>
      <w:r>
        <w:t xml:space="preserve">This is a small thread (64 total posts, read in full in one pass) dominated by harsh.beria93 (trusted), who has meticulously tracked Modison across multiple years of annual reports and AGMs (posts #36-50, up to 12 loves), including detailed related-party-transaction notes, segment volume/growth breakdowns, and management Q&amp;A summaries. Sustained, multi-year, hands-on diligence rather than a passing mention.</w:t>
      </w:r>
    </w:p>
    <w:p>
      <w:pPr>
        <w:spacing w:after="120"/>
      </w:pPr>
      <w:r>
        <w:rPr>
          <w:b/>
          <w:bCs/>
          <w:sz w:val="20"/>
          <w:szCs w:val="20"/>
        </w:rPr>
        <w:t xml:space="preserve">High-conviction call from a top contributor: </w:t>
      </w:r>
      <w:r>
        <w:rPr>
          <w:sz w:val="20"/>
          <w:szCs w:val="20"/>
        </w:rPr>
        <w:t xml:space="preserve">harsh.beria93 (trusted) is both the source of this stock's very-high queueing (his own portfolio thread named Modison alongside other 'healthy topline growth' names) and the dominant, most-engaged voice in the company's own ValuePickr thread — a rare case where the trusted signal is corroborated by the same user's deep, repeated, on-the-record diligence in the company thread itself.</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 (backfill) / ongoing — harsh.beria93</w:t>
      </w:r>
      <w:r>
        <w:rPr>
          <w:i/>
          <w:iCs/>
          <w:color w:val="666666"/>
          <w:sz w:val="18"/>
          <w:szCs w:val="18"/>
        </w:rPr>
        <w:t xml:space="preserve"> (The harsh portfolio! (queueing source) + Modison Ltd company thread (posts #36-50, multi-year AGM notes))</w:t>
      </w:r>
      <w:r>
        <w:rPr>
          <w:sz w:val="20"/>
          <w:szCs w:val="20"/>
        </w:rPr>
        <w:br/>
        <w:t xml:space="preserve">: "Bought: ...Modison" and "Companies like Apcotex, Shri Jagdamba, Bharat Rasayan, IPL, Modison, Vinati, etc. are showing healthy topline growth" in his own portfolio thread, backed by years of detailed AGM/annual-report note-taking directly in the Modison company thread — the strongest and most sustained form of trusted engagement seen in this batch.</w:t>
      </w:r>
    </w:p>
    <w:p>
      <w:pPr>
        <w:pStyle w:val="Heading1"/>
        <w:spacing w:after="120" w:before="280"/>
      </w:pPr>
      <w:r>
        <w:t xml:space="preserve">BSE Corporate Actions / Other Red Flags</w:t>
      </w:r>
    </w:p>
    <w:p>
      <w:pPr>
        <w:spacing w:after="120"/>
      </w:pPr>
      <w:r>
        <w:t xml:space="preserve">No SEBI/regulatory action found. Historical tax disputes of ~Rs 10.25 Cr noted in harsh.beria93's AR22 notes — standard for the sector. 13 Aug 2026: board approved sale of 100% of subsidiary Modison HV Pvt Ltd to promoter-group buyers for Rs 27.68 lakh (completion by 12 Sep 2026) — a small related-party disposal. 43rd AGM held 21 Jul 2026. FY26 final dividend Rs 3/sh.</w:t>
      </w:r>
    </w:p>
    <w:p>
      <w:pPr>
        <w:pStyle w:val="Heading1"/>
        <w:spacing w:after="120" w:before="280"/>
      </w:pPr>
      <w:r>
        <w:t xml:space="preserve">Bull Case</w:t>
      </w:r>
    </w:p>
    <w:p>
      <w:pPr>
        <w:pStyle w:val="ListParagraph"/>
        <w:numPr>
          <w:ilvl w:val="0"/>
          <w:numId w:val="1"/>
        </w:numPr>
        <w:spacing w:after="60"/>
      </w:pPr>
      <w:r>
        <w:t xml:space="preserve">Genuine global-niche moat: only maker of LV+MV+HV contact materials under one roof, DODUCO KG (Germany) collaboration since 1983, high OEM switching costs</w:t>
      </w:r>
    </w:p>
    <w:p>
      <w:pPr>
        <w:pStyle w:val="ListParagraph"/>
        <w:numPr>
          <w:ilvl w:val="0"/>
          <w:numId w:val="1"/>
        </w:numPr>
        <w:spacing w:after="60"/>
      </w:pPr>
      <w:r>
        <w:t xml:space="preserve">Durable demand backdrop — India T&amp;D / transmission capex supercycle plus China+1 sourcing shifts toward Indian contact suppliers</w:t>
      </w:r>
    </w:p>
    <w:p>
      <w:pPr>
        <w:pStyle w:val="ListParagraph"/>
        <w:numPr>
          <w:ilvl w:val="0"/>
          <w:numId w:val="1"/>
        </w:numPr>
        <w:spacing w:after="60"/>
      </w:pPr>
      <w:r>
        <w:t xml:space="preserve">Capability ladder: developed in-house copper-chrome alloy for HV and commenced HV-contact exports to Europe and Japan — a real move up the value curve</w:t>
      </w:r>
    </w:p>
    <w:p>
      <w:pPr>
        <w:pStyle w:val="ListParagraph"/>
        <w:numPr>
          <w:ilvl w:val="0"/>
          <w:numId w:val="1"/>
        </w:numPr>
        <w:spacing w:after="60"/>
      </w:pPr>
      <w:r>
        <w:t xml:space="preserve">FY26 delivered a large earnings inflection (PAT +194%, OPM up ~660bps) with rising capacity utilisation; promoter holding stable at 52% with zero pledge</w:t>
      </w:r>
    </w:p>
    <w:p>
      <w:pPr>
        <w:pStyle w:val="ListParagraph"/>
        <w:numPr>
          <w:ilvl w:val="0"/>
          <w:numId w:val="1"/>
        </w:numPr>
        <w:spacing w:after="60"/>
      </w:pPr>
      <w:r>
        <w:t xml:space="preserve">Sustained multi-year trusted-user diligence (harsh.beria93) corroborating the story from inside the company thread</w:t>
      </w:r>
    </w:p>
    <w:p>
      <w:pPr>
        <w:pStyle w:val="Heading1"/>
        <w:spacing w:after="120" w:before="280"/>
      </w:pPr>
      <w:r>
        <w:t xml:space="preserve">Bear Case / Key Risks</w:t>
      </w:r>
    </w:p>
    <w:p>
      <w:pPr>
        <w:pStyle w:val="ListParagraph"/>
        <w:numPr>
          <w:ilvl w:val="0"/>
          <w:numId w:val="1"/>
        </w:numPr>
        <w:spacing w:after="60"/>
      </w:pPr>
      <w:r>
        <w:t xml:space="preserve">Earnings are silver-price-aided — silver passes through the topline and drove FY26 margin/inventory/hedge gains; quarterly OPM swung 6% → 25% → 19% in five quarters</w:t>
      </w:r>
    </w:p>
    <w:p>
      <w:pPr>
        <w:pStyle w:val="ListParagraph"/>
        <w:numPr>
          <w:ilvl w:val="0"/>
          <w:numId w:val="1"/>
        </w:numPr>
        <w:spacing w:after="60"/>
      </w:pPr>
      <w:r>
        <w:t xml:space="preserve">FY26 AND FY25 operating cash flow were both NEGATIVE (~-Rs 64 Cr / ~-Rs 16 Cr); the profit surge has been funded by working capital and borrowings rising to ~Rs 174 Cr — poor cash conversion</w:t>
      </w:r>
    </w:p>
    <w:p>
      <w:pPr>
        <w:pStyle w:val="ListParagraph"/>
        <w:numPr>
          <w:ilvl w:val="0"/>
          <w:numId w:val="1"/>
        </w:numPr>
        <w:spacing w:after="60"/>
      </w:pPr>
      <w:r>
        <w:t xml:space="preserve">The '15x P/E vs 41x peers' framing is on peak, non-cash-backed earnings; on a normalised EPS (~Rs 18-24) the effective multiple is ~21-28x</w:t>
      </w:r>
    </w:p>
    <w:p>
      <w:pPr>
        <w:pStyle w:val="ListParagraph"/>
        <w:numPr>
          <w:ilvl w:val="0"/>
          <w:numId w:val="1"/>
        </w:numPr>
        <w:spacing w:after="60"/>
      </w:pPr>
      <w:r>
        <w:t xml:space="preserve">Rs 1,000 Cr-by-2030 topline target is largely being met early via silver-inflated revenue, not a proportionate volume increase</w:t>
      </w:r>
    </w:p>
    <w:p>
      <w:pPr>
        <w:pStyle w:val="ListParagraph"/>
        <w:numPr>
          <w:ilvl w:val="0"/>
          <w:numId w:val="1"/>
        </w:numPr>
        <w:spacing w:after="60"/>
      </w:pPr>
      <w:r>
        <w:t xml:space="preserve">Aug-2026 sale of the Modison HV subsidiary to promoter-group buyers at a token Rs 27.68 lakh is a minor related-party governance data-point</w:t>
      </w:r>
    </w:p>
    <w:p>
      <w:pPr>
        <w:pStyle w:val="ListParagraph"/>
        <w:numPr>
          <w:ilvl w:val="0"/>
          <w:numId w:val="1"/>
        </w:numPr>
        <w:spacing w:after="60"/>
      </w:pPr>
      <w:r>
        <w:t xml:space="preserve">A silver-price reversal would compress margins and unwind inventory gains simultaneously</w:t>
      </w:r>
    </w:p>
    <w:p>
      <w:pPr>
        <w:pStyle w:val="Heading1"/>
        <w:spacing w:after="120" w:before="280"/>
      </w:pPr>
      <w:r>
        <w:t xml:space="preserve">Market-Cap Tier (informational — not a gate in this project)</w:t>
      </w:r>
    </w:p>
    <w:p>
      <w:pPr>
        <w:spacing w:after="120"/>
      </w:pPr>
      <w:r>
        <w:rPr>
          <w:b/>
          <w:bCs/>
        </w:rPr>
        <w:t xml:space="preserve">small-cap (~Rs 1,621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A real global-niche contact-materials moat with a durable T&amp;D-capex tailwind — but FY26's earnings explosion is silver-cycle-aided and cash-flow-negative, so it is a quality cyclical-growth compounder, not a 10x-in-2-3-years case</w:t>
      </w:r>
    </w:p>
    <w:p>
      <w:pPr>
        <w:pStyle w:val="ListParagraph"/>
        <w:numPr>
          <w:ilvl w:val="0"/>
          <w:numId w:val="1"/>
        </w:numPr>
        <w:spacing w:after="60"/>
      </w:pPr>
      <w:r>
        <w:t xml:space="preserve">Deep-dive pass 1 confirmed the moat and the demand backdrop (DODUCO one-roof LV/MV/HV, HV export wins to Europe/Japan, India transmission capex) but reframed the headline financials: FY26 PAT +194% and the ~15x P/E rest on a silver-price windfall (topline pass-through + margin/inventory gains) and on OPM at a level (Q4 FY26 25%) that is not a through-cycle base.</w:t>
      </w:r>
    </w:p>
    <w:p>
      <w:pPr>
        <w:pStyle w:val="ListParagraph"/>
        <w:numPr>
          <w:ilvl w:val="0"/>
          <w:numId w:val="1"/>
        </w:numPr>
        <w:spacing w:after="60"/>
      </w:pPr>
      <w:r>
        <w:t xml:space="preserve">Earnings quality is the key concern: FY26 and FY25 both had negative operating cash flow, working capital (silver inventory + receivables) absorbed the profit, and borrowings rose to ~Rs 174 Cr — the reported profit is not converting to cash.</w:t>
      </w:r>
    </w:p>
    <w:p>
      <w:pPr>
        <w:pStyle w:val="ListParagraph"/>
        <w:numPr>
          <w:ilvl w:val="0"/>
          <w:numId w:val="1"/>
        </w:numPr>
        <w:spacing w:after="60"/>
      </w:pPr>
      <w:r>
        <w:t xml:space="preserve">On a normalised EPS the effective multiple is ~21-28x, which already discounts ~20%+ EPS growth — gap_direction 'priced-in'. The structural volume story is real but is a smaller double-digit number than the headline growth implies.</w:t>
      </w:r>
    </w:p>
    <w:p>
      <w:pPr>
        <w:pStyle w:val="ListParagraph"/>
        <w:numPr>
          <w:ilvl w:val="0"/>
          <w:numId w:val="1"/>
        </w:numPr>
        <w:spacing w:after="60"/>
      </w:pPr>
      <w:r>
        <w:t xml:space="preserve">Thesis-fit moved 10x-in-2-3-years → neither: from Rs 1,621 Cr a 10x in 2-3 years needs earnings to ~5x with a re-rate, not credible given commodity dependence and negative FCF. Conviction Medium-High → Medium — genuine moat, durable tailwind, no red flag, and strong trusted-user diligence keep it at Medium despite the cash-conversion and commodity concerns. Note: state.json trusted_conviction_floor_active is false, so no floor applies.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p/>
    <w:p>
      <w:r>
        <w:rPr>
          <w:b/>
          <w:sz w:val="28"/>
        </w:rPr>
        <w:t>🔄 RESEARCH UPDATE - 2026-10-05</w:t>
      </w:r>
    </w:p>
    <w:p>
      <w:r>
        <w:rPr>
          <w:b/>
        </w:rPr>
        <w:t>📊 Key Metrics:</w:t>
      </w:r>
    </w:p>
    <w:p>
      <w:pPr>
        <w:ind w:left="360"/>
      </w:pPr>
      <w:r>
        <w:t xml:space="preserve">  • Company: Modison Ltd</w:t>
      </w:r>
    </w:p>
    <w:p>
      <w:pPr>
        <w:ind w:left="360"/>
      </w:pPr>
      <w:r>
        <w:t xml:space="preserve">  • Conviction: Not rated</w:t>
      </w:r>
    </w:p>
    <w:p>
      <w:pPr>
        <w:ind w:left="360"/>
      </w:pPr>
      <w:r>
        <w:t xml:space="preserve">  • Thesis: neither</w:t>
      </w:r>
    </w:p>
    <w:p>
      <w:pPr>
        <w:ind w:left="360"/>
      </w:pPr>
      <w:r>
        <w:t xml:space="preserve">  • 4-Box Score: 2.5</w:t>
      </w:r>
    </w:p>
    <w:p>
      <w:pPr>
        <w:ind w:left="360"/>
      </w:pPr>
      <w:r>
        <w:t xml:space="preserve">  • Research Date: 2026-09-02</w:t>
      </w:r>
    </w:p>
    <w:p>
      <w:pPr>
        <w:ind w:left="360"/>
      </w:pPr>
      <w:r>
        <w:t xml:space="preserve">  • Red Flag: None</w:t>
      </w:r>
    </w:p>
    <w:p/>
    <w:p>
      <w:r>
        <w:rPr>
          <w:b/>
        </w:rPr>
        <w:t>📝 Verdict:</w:t>
      </w:r>
    </w:p>
    <w:p>
      <w:pPr>
        <w:ind w:left="360"/>
      </w:pPr>
      <w:r>
        <w:t>A real global-niche contact-materials moat with a durable T&amp;D-capex tailwind — but FY26's earnings explosion is silver-cycle-aided and cash-flow-negative, so it is a quality cyclical-growth compounder, not a 10x-in-2-3-years case</w:t>
      </w:r>
    </w:p>
    <w:p/>
    <w:p>
      <w:r>
        <w:rPr>
          <w:b/>
        </w:rPr>
        <w:t>📈 Bull Case:</w:t>
      </w:r>
    </w:p>
    <w:p>
      <w:pPr>
        <w:ind w:left="360"/>
      </w:pPr>
      <w:r>
        <w:t>Genuine global-niche moat: only maker of LV+MV+HV contact materials under one roof, DODUCO KG (Germany) collaboration since 1983, high OEM switching costs</w:t>
      </w:r>
    </w:p>
    <w:p>
      <w:pPr>
        <w:ind w:left="360"/>
      </w:pPr>
      <w:r>
        <w:t>Durable demand backdrop — India T&amp;D / transmission capex supercycle plus China+1 sourcing shifts toward Indian contact suppliers</w:t>
      </w:r>
    </w:p>
    <w:p>
      <w:pPr>
        <w:ind w:left="360"/>
      </w:pPr>
      <w:r>
        <w:t>Capability ladder: developed in-house copper-chrome alloy for HV and commenced HV-contact exports to Europe and Japan — a real move up the value curve</w:t>
      </w:r>
    </w:p>
    <w:p>
      <w:pPr>
        <w:ind w:left="360"/>
      </w:pPr>
      <w:r>
        <w:t>FY26 delivered a large earnings inflection (PAT +194%, OPM up ~660bps) with rising capacity utilisation; promoter holding stable at 52% with zero pledge</w:t>
      </w:r>
    </w:p>
    <w:p>
      <w:pPr>
        <w:ind w:left="360"/>
      </w:pPr>
      <w:r>
        <w:t>Sustained multi-year trusted-user diligence (harsh.beria93) corroborating the story from inside the company thread</w:t>
      </w:r>
    </w:p>
    <w:p/>
    <w:p>
      <w:r>
        <w:rPr>
          <w:b/>
        </w:rPr>
        <w:t>📉 Bear Case:</w:t>
      </w:r>
    </w:p>
    <w:p>
      <w:pPr>
        <w:ind w:left="360"/>
      </w:pPr>
      <w:r>
        <w:t>Earnings are silver-price-aided — silver passes through the topline and drove FY26 margin/inventory/hedge gains; quarterly OPM swung 6% → 25% → 19% in five quarters</w:t>
      </w:r>
    </w:p>
    <w:p>
      <w:pPr>
        <w:ind w:left="360"/>
      </w:pPr>
      <w:r>
        <w:t>FY26 AND FY25 operating cash flow were both NEGATIVE (~-Rs 64 Cr / ~-Rs 16 Cr); the profit surge has been funded by working capital and borrowings rising to ~Rs 174 Cr — poor cash conversion</w:t>
      </w:r>
    </w:p>
    <w:p>
      <w:pPr>
        <w:ind w:left="360"/>
      </w:pPr>
      <w:r>
        <w:t>The '15x P/E vs 41x peers' framing is on peak, non-cash-backed earnings; on a normalised EPS (~Rs 18-24) the effective multiple is ~21-28x</w:t>
      </w:r>
    </w:p>
    <w:p>
      <w:pPr>
        <w:ind w:left="360"/>
      </w:pPr>
      <w:r>
        <w:t>Rs 1,000 Cr-by-2030 topline target is largely being met early via silver-inflated revenue, not a proportionate volume increase</w:t>
      </w:r>
    </w:p>
    <w:p>
      <w:pPr>
        <w:ind w:left="360"/>
      </w:pPr>
      <w:r>
        <w:t>Aug-2026 sale of the Modison HV subsidiary to promoter-group buyers at a token Rs 27.68 lakh is a minor related-party governance data-point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2026-09-02T02:24:01.317Z</dcterms:created>
  <dcterms:modified xsi:type="dcterms:W3CDTF">2026-09-02T02:24:01.324Z</dcterms:modified>
</cp:coreProperties>
</file>

<file path=docProps/custom.xml><?xml version="1.0" encoding="utf-8"?>
<Properties xmlns="http://schemas.openxmlformats.org/officeDocument/2006/custom-properties" xmlns:vt="http://schemas.openxmlformats.org/officeDocument/2006/docPropsVTypes"/>
</file>