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Sambhv Steel Tubes</w:t>
      </w:r>
    </w:p>
    <w:p>
      <w:pPr>
        <w:pBdr>
          <w:bottom w:val="single" w:color="CCCCCC" w:sz="6" w:space="8"/>
        </w:pBdr>
        <w:spacing w:after="200"/>
      </w:pPr>
      <w:r>
        <w:rPr>
          <w:i/>
          <w:iCs/>
          <w:color w:val="666666"/>
          <w:sz w:val="22"/>
          <w:szCs w:val="22"/>
        </w:rPr>
        <w:t xml:space="preserve">Backward-integrated ERW/GI/SS pipe maker riding India infra capex; funding question now largely answered by aggressive deleveraging, with an FY28 stainless-steel capacity catalyst — tempered by management's own flag that current EBITDA/tonne is above through-cycle</w:t>
      </w:r>
    </w:p>
    <w:p>
      <w:pPr>
        <w:pStyle w:val="Heading1"/>
        <w:spacing w:after="120" w:before="280"/>
      </w:pPr>
      <w:r>
        <w:t xml:space="preserve">Business Overview</w:t>
      </w:r>
    </w:p>
    <w:p>
      <w:pPr>
        <w:spacing w:after="120"/>
      </w:pPr>
      <w:r>
        <w:t xml:space="preserve">Sambhv Steel Tubes is an integrated steel-tube manufacturer with captive sponge iron availability, producing slabs/blooms that feed into coils/sheets and further into value-added products (GI/GP pipes, welded pipes and tubes, steel door frames). The backward integration is a genuine structural cost/margin advantage versus non-integrated peers. The company IPO'd in 2025 and is currently mid-way through a major stainless-steel capacity expansion (Kesda facility) expected to start contributing from FY28.</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3,750 Cr (price ~Rs 127, Aug 2026)</w:t>
            </w:r>
          </w:p>
        </w:tc>
      </w:tr>
      <w:tr>
        <w:tc>
          <w:tcPr>
            <w:tcW w:type="dxa" w:w="3200"/>
            <w:shd w:fill="F2F2F2" w:val="clear"/>
          </w:tcPr>
          <w:p>
            <w:r>
              <w:rPr>
                <w:b/>
                <w:bCs/>
              </w:rPr>
              <w:t xml:space="preserve">P/E / P/B / EV/EBITDA</w:t>
            </w:r>
          </w:p>
        </w:tc>
        <w:tc>
          <w:tcPr>
            <w:tcW w:type="dxa" w:w="5800"/>
          </w:tcPr>
          <w:p>
            <w:r>
              <w:t xml:space="preserve">~22.6x / ~3.5x / ~12x (TTM)</w:t>
            </w:r>
          </w:p>
        </w:tc>
      </w:tr>
      <w:tr>
        <w:tc>
          <w:tcPr>
            <w:tcW w:type="dxa" w:w="3200"/>
            <w:shd w:fill="F2F2F2" w:val="clear"/>
          </w:tcPr>
          <w:p>
            <w:r>
              <w:rPr>
                <w:b/>
                <w:bCs/>
              </w:rPr>
              <w:t xml:space="preserve">ROCE / ROE</w:t>
            </w:r>
          </w:p>
        </w:tc>
        <w:tc>
          <w:tcPr>
            <w:tcW w:type="dxa" w:w="5800"/>
          </w:tcPr>
          <w:p>
            <w:r>
              <w:t xml:space="preserve">19.1% / 18.5% (screener, FY26)</w:t>
            </w:r>
          </w:p>
        </w:tc>
      </w:tr>
      <w:tr>
        <w:tc>
          <w:tcPr>
            <w:tcW w:type="dxa" w:w="3200"/>
            <w:shd w:fill="F2F2F2" w:val="clear"/>
          </w:tcPr>
          <w:p>
            <w:r>
              <w:rPr>
                <w:b/>
                <w:bCs/>
              </w:rPr>
              <w:t xml:space="preserve">FY24 / FY25 / FY26 Revenue</w:t>
            </w:r>
          </w:p>
        </w:tc>
        <w:tc>
          <w:tcPr>
            <w:tcW w:type="dxa" w:w="5800"/>
          </w:tcPr>
          <w:p>
            <w:r>
              <w:t xml:space="preserve">Rs 1,286 Cr / Rs 1,511 Cr / Rs 2,413 Cr (+60% FY26)</w:t>
            </w:r>
          </w:p>
        </w:tc>
      </w:tr>
      <w:tr>
        <w:tc>
          <w:tcPr>
            <w:tcW w:type="dxa" w:w="3200"/>
            <w:shd w:fill="F2F2F2" w:val="clear"/>
          </w:tcPr>
          <w:p>
            <w:r>
              <w:rPr>
                <w:b/>
                <w:bCs/>
              </w:rPr>
              <w:t xml:space="preserve">FY24 / FY25 / FY26 PAT</w:t>
            </w:r>
          </w:p>
        </w:tc>
        <w:tc>
          <w:tcPr>
            <w:tcW w:type="dxa" w:w="5800"/>
          </w:tcPr>
          <w:p>
            <w:r>
              <w:t xml:space="preserve">Rs 82 Cr / Rs 58 Cr (cycle dip) / Rs 143 Cr (+147%)</w:t>
            </w:r>
          </w:p>
        </w:tc>
      </w:tr>
      <w:tr>
        <w:tc>
          <w:tcPr>
            <w:tcW w:type="dxa" w:w="3200"/>
            <w:shd w:fill="F2F2F2" w:val="clear"/>
          </w:tcPr>
          <w:p>
            <w:r>
              <w:rPr>
                <w:b/>
                <w:bCs/>
              </w:rPr>
              <w:t xml:space="preserve">Q1 FY27 results</w:t>
            </w:r>
          </w:p>
        </w:tc>
        <w:tc>
          <w:tcPr>
            <w:tcW w:type="dxa" w:w="5800"/>
          </w:tcPr>
          <w:p>
            <w:r>
              <w:t xml:space="preserve">Revenue Rs 732 Cr (+31% YoY), EBITDA Rs 100 Cr (13% margin), PAT Rs 57 Cr (+69% YoY); VAP volume 1,01,191 T (+27% YoY)</w:t>
            </w:r>
          </w:p>
        </w:tc>
      </w:tr>
      <w:tr>
        <w:tc>
          <w:tcPr>
            <w:tcW w:type="dxa" w:w="3200"/>
            <w:shd w:fill="F2F2F2" w:val="clear"/>
          </w:tcPr>
          <w:p>
            <w:r>
              <w:rPr>
                <w:b/>
                <w:bCs/>
              </w:rPr>
              <w:t xml:space="preserve">Debt</w:t>
            </w:r>
          </w:p>
        </w:tc>
        <w:tc>
          <w:tcPr>
            <w:tcW w:type="dxa" w:w="5800"/>
          </w:tcPr>
          <w:p>
            <w:r>
              <w:t xml:space="preserve">Rs 351 Cr (FY24) -&gt; Rs 536 Cr (FY25) -&gt; Rs 378 Cr (FY26); +Rs 390 Cr repaid Jul 2026; net-debt target &lt;Rs 200 Cr by FY27-end</w:t>
            </w:r>
          </w:p>
        </w:tc>
      </w:tr>
      <w:tr>
        <w:tc>
          <w:tcPr>
            <w:tcW w:type="dxa" w:w="3200"/>
            <w:shd w:fill="F2F2F2" w:val="clear"/>
          </w:tcPr>
          <w:p>
            <w:r>
              <w:rPr>
                <w:b/>
                <w:bCs/>
              </w:rPr>
              <w:t xml:space="preserve">CFO / EBITDA (FY26)</w:t>
            </w:r>
          </w:p>
        </w:tc>
        <w:tc>
          <w:tcPr>
            <w:tcW w:type="dxa" w:w="5800"/>
          </w:tcPr>
          <w:p>
            <w:r>
              <w:t xml:space="preserve">Rs 216 Cr / ~Rs 325 Cr (~66% — working-capital drag in growth phase)</w:t>
            </w:r>
          </w:p>
        </w:tc>
      </w:tr>
      <w:tr>
        <w:tc>
          <w:tcPr>
            <w:tcW w:type="dxa" w:w="3200"/>
            <w:shd w:fill="F2F2F2" w:val="clear"/>
          </w:tcPr>
          <w:p>
            <w:r>
              <w:rPr>
                <w:b/>
                <w:bCs/>
              </w:rPr>
              <w:t xml:space="preserve">Key catalyst</w:t>
            </w:r>
          </w:p>
        </w:tc>
        <w:tc>
          <w:tcPr>
            <w:tcW w:type="dxa" w:w="5800"/>
          </w:tcPr>
          <w:p>
            <w:r>
              <w:t xml:space="preserve">Kesda stainless-steel Phase-1 (360kt SS melt-roll) targeted end-FY27, contributing FY28</w:t>
            </w:r>
          </w:p>
        </w:tc>
      </w:tr>
      <w:tr>
        <w:tc>
          <w:tcPr>
            <w:tcW w:type="dxa" w:w="3200"/>
            <w:shd w:fill="F2F2F2" w:val="clear"/>
          </w:tcPr>
          <w:p>
            <w:r>
              <w:rPr>
                <w:b/>
                <w:bCs/>
              </w:rPr>
              <w:t xml:space="preserve">Rating</w:t>
            </w:r>
          </w:p>
        </w:tc>
        <w:tc>
          <w:tcPr>
            <w:tcW w:type="dxa" w:w="5800"/>
          </w:tcPr>
          <w:p>
            <w:r>
              <w:t xml:space="preserve">CRISIL A+/Stable</w:t>
            </w:r>
          </w:p>
        </w:tc>
      </w:tr>
    </w:tbl>
    <w:p>
      <w:pPr>
        <w:spacing w:after="100"/>
      </w:pPr>
    </w:p>
    <w:p>
      <w:pPr>
        <w:spacing w:after="120"/>
      </w:pPr>
      <w:r>
        <w:t xml:space="preserve">The deep read is largely confirmatory but resolves the biggest open question and adds one caution. FY26 was a record year (revenue Rs 2,413 Cr +60%, PAT Rs 143 Cr +147%) after FY25's cycle-driven PAT dip (Rs 58 Cr on Rs 1,511 Cr revenue). The trusted user's Oct-2025 funding/leverage concern is now substantially answered: gross debt fell to Rs 378 Cr in FY26, a further ~Rs 390 Cr of term and working-capital loans were repaid in July 2026 (Rs 8-10 Cr/quarter interest saving), management targets net debt below Rs 200 Cr by FY27-end and only working-capital debt long term, and the Kesda greenfield + debottlenecking capex is funded through a judicious mix of internal accrual, a ~Rs 675 Cr term loan and a Rs 100 Cr promoter-participated preferential warrant issue (at Rs 115, approved Aug 2026). The caution: Q1 FY27 EBITDA/tonne exceeded Rs 10,000 against management's own FY27 guidance of Rs 7,000-8,000 and a blended EBITDA-margin guide of 10-12% (10% floor) versus the ~13% reported — management explicitly attributes the excess to 'peak pricing conditions', and the Dec-2025 quarter (9% OPM, PAT Rs 24 Cr) shows how fast margins compress on a steel-price down-leg. VAP volume growth is the steadier signal at ~27% YoY.</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2026-08-30.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FY24-FY26 financials + FY26 investor presentation / audited results (via screener.in, Whalesbook, MNCL initiating coverage) — MD&amp;A themes, capex, debt</w:t>
      </w:r>
    </w:p>
    <w:p>
      <w:pPr>
        <w:pStyle w:val="ListParagraph"/>
        <w:numPr>
          <w:ilvl w:val="0"/>
          <w:numId w:val="1"/>
        </w:numPr>
        <w:spacing w:after="60"/>
      </w:pPr>
      <w:r>
        <w:t xml:space="preserve">Q1 FY26 - Q1 FY27 quarterly results + Q1 FY27 concall (04-Aug-2026) highlights + Jul-2026 investor meet notes</w:t>
      </w:r>
    </w:p>
    <w:p>
      <w:pPr>
        <w:pStyle w:val="ListParagraph"/>
        <w:numPr>
          <w:ilvl w:val="0"/>
          <w:numId w:val="1"/>
        </w:numPr>
        <w:spacing w:after="60"/>
      </w:pPr>
      <w:r>
        <w:t xml:space="preserve">BSE/NSE announcements Feb-Aug 2026: FY26 results + Sarora capex approval (9-May), preferential warrant issue + EGM (Jul-Aug), Rs 390 Cr debt repayment (Jul), Rs 25 Cr solar approval (Q1), CRISIL A+/Stable</w:t>
      </w:r>
    </w:p>
    <w:p>
      <w:pPr>
        <w:spacing w:after="120"/>
      </w:pPr>
      <w:r>
        <w:rPr>
          <w:b/>
          <w:bCs/>
          <w:sz w:val="20"/>
          <w:szCs w:val="20"/>
        </w:rPr>
        <w:t xml:space="preserve">Annual-report findings (3-year view):</w:t>
      </w:r>
    </w:p>
    <w:p>
      <w:pPr>
        <w:pStyle w:val="ListParagraph"/>
        <w:numPr>
          <w:ilvl w:val="0"/>
          <w:numId w:val="1"/>
        </w:numPr>
        <w:spacing w:after="60"/>
      </w:pPr>
      <w:r>
        <w:t xml:space="preserve">FY26 record: revenue Rs 2,413 Cr (+60% YoY), PAT Rs 143 Cr (+147%); FY25 had been a cycle dip (PAT Rs 58 Cr on revenue Rs 1,511 Cr) — the multi-year picture is cyclical around a rising trend, not linear</w:t>
      </w:r>
    </w:p>
    <w:p>
      <w:pPr>
        <w:pStyle w:val="ListParagraph"/>
        <w:numPr>
          <w:ilvl w:val="0"/>
          <w:numId w:val="1"/>
        </w:numPr>
        <w:spacing w:after="60"/>
      </w:pPr>
      <w:r>
        <w:t xml:space="preserve">Deleveraging is real and ahead of plan: gross debt Rs 351 Cr (FY24) -&gt; Rs 536 Cr (FY25) -&gt; Rs 378 Cr (FY26); management targets net debt &lt;Rs 200 Cr by FY27-end and only working-capital debt long term</w:t>
      </w:r>
    </w:p>
    <w:p>
      <w:pPr>
        <w:pStyle w:val="ListParagraph"/>
        <w:numPr>
          <w:ilvl w:val="0"/>
          <w:numId w:val="1"/>
        </w:numPr>
        <w:spacing w:after="60"/>
      </w:pPr>
      <w:r>
        <w:t xml:space="preserve">Capex architecture: Kesda greenfield stainless (Phase-1 ~Rs 930 Cr incl ~Rs 675 Cr term loan, 360kt SS melt-roll by end-FY27); ~Rs 200 Cr debottlenecking (Rs 150 Cr debt) for Rs 100-120 Cr operating uplift; Sarora pipe mill Rs 50 Cr / 150kt and 30 MW power plant Rs 150 Cr, both targeted Dec-2027; Rs 25 Cr solar</w:t>
      </w:r>
    </w:p>
    <w:p>
      <w:pPr>
        <w:pStyle w:val="ListParagraph"/>
        <w:numPr>
          <w:ilvl w:val="0"/>
          <w:numId w:val="1"/>
        </w:numPr>
        <w:spacing w:after="60"/>
      </w:pPr>
      <w:r>
        <w:t xml:space="preserve">Capacity roadmap ~470kt today -&gt; ~900kt by end-2027 -&gt; ~2.03 MMTPA finished over 4-5 years (~3x)</w:t>
      </w:r>
    </w:p>
    <w:p>
      <w:pPr>
        <w:pStyle w:val="ListParagraph"/>
        <w:numPr>
          <w:ilvl w:val="0"/>
          <w:numId w:val="1"/>
        </w:numPr>
        <w:spacing w:after="60"/>
      </w:pPr>
      <w:r>
        <w:t xml:space="preserve">FY26 CFO Rs 216 Cr vs EBITDA ~Rs 325 Cr (~66%) — working-capital absorption during the growth phase; promoter 56.1%, nil encumbrance; CRISIL A+/Stable</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OPM path Q1FY26-&gt;Q1FY27: 13% -&gt; 10% -&gt; 9% (Dec-25 trough) -&gt; 13% -&gt; 13%; PAT Rs 33 -&gt; 30 -&gt; 24 -&gt; 56 -&gt; 57 Cr — steel-cycle-driven swing, then recovery</w:t>
      </w:r>
    </w:p>
    <w:p>
      <w:pPr>
        <w:pStyle w:val="ListParagraph"/>
        <w:numPr>
          <w:ilvl w:val="0"/>
          <w:numId w:val="1"/>
        </w:numPr>
        <w:spacing w:after="60"/>
      </w:pPr>
      <w:r>
        <w:t xml:space="preserve">Q1 FY27: revenue Rs 732 Cr (+31% YoY), EBITDA Rs 100 Cr, PAT Rs 57 Cr (+69% YoY); VAP volume 1,01,191 T (+27% YoY) — volume growth steadier than the margin line</w:t>
      </w:r>
    </w:p>
    <w:p>
      <w:pPr>
        <w:pStyle w:val="ListParagraph"/>
        <w:numPr>
          <w:ilvl w:val="0"/>
          <w:numId w:val="1"/>
        </w:numPr>
        <w:spacing w:after="60"/>
      </w:pPr>
      <w:r>
        <w:t xml:space="preserve">Q1 FY27 EBITDA/tonne &gt;Rs 10,000 vs management FY27 guide of Rs 7,000-8,000; management attributes the gap to 'peak pricing conditions' and guides blended EBITDA margin to 10-12% (10% floor)</w:t>
      </w:r>
    </w:p>
    <w:p>
      <w:pPr>
        <w:pStyle w:val="ListParagraph"/>
        <w:numPr>
          <w:ilvl w:val="0"/>
          <w:numId w:val="1"/>
        </w:numPr>
        <w:spacing w:after="60"/>
      </w:pPr>
      <w:r>
        <w:t xml:space="preserve">Near-term revenue-growth guidance of 10-15%; concall tone confident on volume and deleveraging, deliberately conservative on margin</w:t>
      </w:r>
    </w:p>
    <w:p>
      <w:pPr>
        <w:spacing w:after="120"/>
      </w:pPr>
      <w:r>
        <w:rPr>
          <w:b/>
          <w:bCs/>
          <w:sz w:val="20"/>
          <w:szCs w:val="20"/>
        </w:rPr>
        <w:t xml:space="preserve">Exchange announcements (last 6 months):</w:t>
      </w:r>
    </w:p>
    <w:p>
      <w:pPr>
        <w:pStyle w:val="ListParagraph"/>
        <w:numPr>
          <w:ilvl w:val="0"/>
          <w:numId w:val="1"/>
        </w:numPr>
        <w:spacing w:after="60"/>
      </w:pPr>
      <w:r>
        <w:t xml:space="preserve">09-May-2026: FY26 audited results + board approval for Sarora pipe-mill (Rs 50 Cr / 150kt) and 30 MW power plant (Rs 150 Cr), both targeted Dec-2027</w:t>
      </w:r>
    </w:p>
    <w:p>
      <w:pPr>
        <w:pStyle w:val="ListParagraph"/>
        <w:numPr>
          <w:ilvl w:val="0"/>
          <w:numId w:val="1"/>
        </w:numPr>
        <w:spacing w:after="60"/>
      </w:pPr>
      <w:r>
        <w:t xml:space="preserve">Jul-2026: ~Rs 390 Cr of term and working-capital loans repaid (Rs 8-10 Cr/quarter interest saving)</w:t>
      </w:r>
    </w:p>
    <w:p>
      <w:pPr>
        <w:pStyle w:val="ListParagraph"/>
        <w:numPr>
          <w:ilvl w:val="0"/>
          <w:numId w:val="1"/>
        </w:numPr>
        <w:spacing w:after="60"/>
      </w:pPr>
      <w:r>
        <w:t xml:space="preserve">Jul-Aug 2026: preferential issue of 86.95 lakh convertible warrants at Rs 115 (~Rs 100 Cr) to promoters (Anjaneya Minerals, S.K. Goyal, V.K. Goyal) + 4 non-promoter investors; EGM 10-Aug, shareholder nod ~99.99%; proceeds for capex / working capital / subsidiary</w:t>
      </w:r>
    </w:p>
    <w:p>
      <w:pPr>
        <w:pStyle w:val="ListParagraph"/>
        <w:numPr>
          <w:ilvl w:val="0"/>
          <w:numId w:val="1"/>
        </w:numPr>
        <w:spacing w:after="60"/>
      </w:pPr>
      <w:r>
        <w:t xml:space="preserve">Q1 FY27 (04-Aug-2026): results + Rs 25 Cr solar plant approval; Systematix / Systematix-group site visit 22-Aug; 9th AGM 10-Sep-2026</w:t>
      </w:r>
    </w:p>
    <w:p>
      <w:pPr>
        <w:pStyle w:val="ListParagraph"/>
        <w:numPr>
          <w:ilvl w:val="0"/>
          <w:numId w:val="1"/>
        </w:numPr>
        <w:spacing w:after="60"/>
      </w:pPr>
      <w:r>
        <w:t xml:space="preserve">CRISIL A+/Stable assigned on Rs 162 Cr bank debt</w:t>
      </w:r>
    </w:p>
    <w:p>
      <w:pPr>
        <w:spacing w:after="120"/>
      </w:pPr>
      <w:r>
        <w:rPr>
          <w:b/>
          <w:bCs/>
          <w:sz w:val="20"/>
          <w:szCs w:val="20"/>
        </w:rPr>
        <w:t xml:space="preserve">Key new facts vs. the prior write-up:</w:t>
      </w:r>
    </w:p>
    <w:p>
      <w:pPr>
        <w:pStyle w:val="ListParagraph"/>
        <w:numPr>
          <w:ilvl w:val="0"/>
          <w:numId w:val="1"/>
        </w:numPr>
        <w:spacing w:after="60"/>
      </w:pPr>
      <w:r>
        <w:t xml:space="preserve">The Oct-2025 trusted-user funding concern is now largely answered: debt down, ~Rs 390 Cr repaid, net-debt-&lt;Rs 200-Cr target, capex funded by a mix (internal accrual + Rs 675 Cr term loan + Rs 100 Cr warrants) rather than one large raise</w:t>
      </w:r>
    </w:p>
    <w:p>
      <w:pPr>
        <w:pStyle w:val="ListParagraph"/>
        <w:numPr>
          <w:ilvl w:val="0"/>
          <w:numId w:val="1"/>
        </w:numPr>
        <w:spacing w:after="60"/>
      </w:pPr>
      <w:r>
        <w:t xml:space="preserve">Management explicitly flags Q1 FY27 EBITDA/tonne (&gt;Rs 10,000) as above the sustainable Rs 7,000-8,000 range — a peak-pricing tailwind in current earnings</w:t>
      </w:r>
    </w:p>
    <w:p>
      <w:pPr>
        <w:pStyle w:val="ListParagraph"/>
        <w:numPr>
          <w:ilvl w:val="0"/>
          <w:numId w:val="1"/>
        </w:numPr>
        <w:spacing w:after="60"/>
      </w:pPr>
      <w:r>
        <w:t xml:space="preserve">Kesda stainless Phase-1 is 360kt of SS melt-roll targeted end-FY27 (contributing FY28), not a vague future line</w:t>
      </w:r>
    </w:p>
    <w:p>
      <w:pPr>
        <w:pStyle w:val="ListParagraph"/>
        <w:numPr>
          <w:ilvl w:val="0"/>
          <w:numId w:val="1"/>
        </w:numPr>
        <w:spacing w:after="60"/>
      </w:pPr>
      <w:r>
        <w:t xml:space="preserve">FY25 PAT dip (Rs 58 Cr) and Dec-2025 quarter (9% OPM) quantify the steel-cycle downside that was previously only qualitative</w:t>
      </w:r>
    </w:p>
    <w:p>
      <w:pPr>
        <w:spacing w:after="120"/>
      </w:pPr>
      <w:r>
        <w:rPr>
          <w:b/>
          <w:bCs/>
          <w:sz w:val="20"/>
          <w:szCs w:val="20"/>
        </w:rPr>
        <w:t xml:space="preserve">Open questions / what to watch:</w:t>
      </w:r>
    </w:p>
    <w:p>
      <w:pPr>
        <w:pStyle w:val="ListParagraph"/>
        <w:numPr>
          <w:ilvl w:val="0"/>
          <w:numId w:val="1"/>
        </w:numPr>
        <w:spacing w:after="60"/>
      </w:pPr>
      <w:r>
        <w:t xml:space="preserve">How much does blended EBITDA margin actually give back as steel pricing normalises toward the 10-12% guide, and over which quarters?</w:t>
      </w:r>
    </w:p>
    <w:p>
      <w:pPr>
        <w:pStyle w:val="ListParagraph"/>
        <w:numPr>
          <w:ilvl w:val="0"/>
          <w:numId w:val="1"/>
        </w:numPr>
        <w:spacing w:after="60"/>
      </w:pPr>
      <w:r>
        <w:t xml:space="preserve">FY28 depreciation/interest drag from Kesda before SS volumes ramp — magnitude and the crossover quarter</w:t>
      </w:r>
    </w:p>
    <w:p>
      <w:pPr>
        <w:pStyle w:val="ListParagraph"/>
        <w:numPr>
          <w:ilvl w:val="0"/>
          <w:numId w:val="1"/>
        </w:numPr>
        <w:spacing w:after="60"/>
      </w:pPr>
      <w:r>
        <w:t xml:space="preserve">RPT quantum/trend and any auditor remarks not independently verified this pass (thin filing access)</w:t>
      </w:r>
    </w:p>
    <w:p>
      <w:pPr>
        <w:pStyle w:val="ListParagraph"/>
        <w:numPr>
          <w:ilvl w:val="0"/>
          <w:numId w:val="1"/>
        </w:numPr>
        <w:spacing w:after="60"/>
      </w:pPr>
      <w:r>
        <w:t xml:space="preserve">Warrant conversion timing (18 months) and resulting promoter-stake / dilution math</w:t>
      </w:r>
    </w:p>
    <w:p>
      <w:pPr>
        <w:spacing w:after="120" w:before="120"/>
      </w:pPr>
      <w:r>
        <w:rPr>
          <w:b/>
          <w:bCs/>
          <w:sz w:val="20"/>
          <w:szCs w:val="20"/>
        </w:rPr>
        <w:t xml:space="preserve">Conviction impact: </w:t>
      </w:r>
      <w:r>
        <w:rPr>
          <w:sz w:val="20"/>
          <w:szCs w:val="20"/>
        </w:rPr>
        <w:t xml:space="preserve">Medium-High -&gt; Medium-High. Filings confirm the growth thesis and materially de-risk the funding question (debt down to Rs 378 Cr, +Rs 390 Cr repaid, net-debt target &lt;Rs 200 Cr, capex well-funded) — a clear positive. Offset by management's own flag that Q1 FY27 EBITDA/tonne sits well above the through-cycle Rs 7,000-8,000 guide, so current margins carry a steel-price tailwind (Dec-2025's 9% OPM shows the downside). Net neutral — stays Medium-High, with peak-margin normalisation as the watch-item.</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Kesda stainless-steel Phase-1 (360kt SS melt-roll) commissioning</w:t>
            </w:r>
          </w:p>
        </w:tc>
        <w:tc>
          <w:tcPr>
            <w:tcW w:type="dxa" w:w="2400"/>
          </w:tcPr>
          <w:p>
            <w:r>
              <w:rPr>
                <w:b w:val="false"/>
                <w:bCs w:val="false"/>
                <w:sz w:val="18"/>
                <w:szCs w:val="18"/>
              </w:rPr>
              <w:t xml:space="preserve">~Rs 930 Cr Phase-1 incl ~Rs 675 Cr term loan; targeted end-FY27, contributing FY28</w:t>
            </w:r>
          </w:p>
        </w:tc>
        <w:tc>
          <w:tcPr>
            <w:tcW w:type="dxa" w:w="900"/>
          </w:tcPr>
          <w:p>
            <w:r>
              <w:rPr>
                <w:b w:val="false"/>
                <w:bCs w:val="false"/>
                <w:sz w:val="18"/>
                <w:szCs w:val="18"/>
              </w:rPr>
              <w:t xml:space="preserve">FY28</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FY27 EBITDA/tonne Rs 7,000-8,000; blended EBITDA margin 10-12% (10% floor)</w:t>
            </w:r>
          </w:p>
        </w:tc>
        <w:tc>
          <w:tcPr>
            <w:tcW w:type="dxa" w:w="2400"/>
          </w:tcPr>
          <w:p>
            <w:r>
              <w:rPr>
                <w:b w:val="false"/>
                <w:bCs w:val="false"/>
                <w:sz w:val="18"/>
                <w:szCs w:val="18"/>
              </w:rPr>
              <w:t xml:space="preserve">vs Q1 FY27 actual &gt;Rs 10,000 / ~13% — a deliberately conservative guide</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Deleverage to net debt below Rs 200 Cr; only working-capital debt long term</w:t>
            </w:r>
          </w:p>
        </w:tc>
        <w:tc>
          <w:tcPr>
            <w:tcW w:type="dxa" w:w="2400"/>
          </w:tcPr>
          <w:p>
            <w:r>
              <w:rPr>
                <w:b w:val="false"/>
                <w:bCs w:val="false"/>
                <w:sz w:val="18"/>
                <w:szCs w:val="18"/>
              </w:rPr>
              <w:t xml:space="preserve">gross debt Rs 378 Cr FY26; ~Rs 390 Cr repaid Jul 2026; Rs 8-10 Cr/qtr interest saving</w:t>
            </w:r>
          </w:p>
        </w:tc>
        <w:tc>
          <w:tcPr>
            <w:tcW w:type="dxa" w:w="900"/>
          </w:tcPr>
          <w:p>
            <w:r>
              <w:rPr>
                <w:b w:val="false"/>
                <w:bCs w:val="false"/>
                <w:sz w:val="18"/>
                <w:szCs w:val="18"/>
              </w:rPr>
              <w:t xml:space="preserve">FY27</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Finished capacity ~470kt -&gt; ~900kt by end-2027; ~2.03 MMTPA over 4-5 years</w:t>
            </w:r>
          </w:p>
        </w:tc>
        <w:tc>
          <w:tcPr>
            <w:tcW w:type="dxa" w:w="2400"/>
          </w:tcPr>
          <w:p>
            <w:r>
              <w:rPr>
                <w:b w:val="false"/>
                <w:bCs w:val="false"/>
                <w:sz w:val="18"/>
                <w:szCs w:val="18"/>
              </w:rPr>
              <w:t xml:space="preserve">Sarora pipe mill Rs 50 Cr / 150kt + 30 MW power plant Rs 150 Cr, targeted Dec-2027</w:t>
            </w:r>
          </w:p>
        </w:tc>
        <w:tc>
          <w:tcPr>
            <w:tcW w:type="dxa" w:w="900"/>
          </w:tcPr>
          <w:p>
            <w:r>
              <w:rPr>
                <w:b w:val="false"/>
                <w:bCs w:val="false"/>
                <w:sz w:val="18"/>
                <w:szCs w:val="18"/>
              </w:rPr>
              <w:t xml:space="preserve">beyond</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capex</w:t>
            </w:r>
          </w:p>
        </w:tc>
        <w:tc>
          <w:tcPr>
            <w:tcW w:type="dxa" w:w="2600"/>
          </w:tcPr>
          <w:p>
            <w:r>
              <w:rPr>
                <w:b w:val="false"/>
                <w:bCs w:val="false"/>
                <w:sz w:val="18"/>
                <w:szCs w:val="18"/>
              </w:rPr>
              <w:t xml:space="preserve">Rs 100 Cr preferential warrant raise for capex / working capital / subsidiary</w:t>
            </w:r>
          </w:p>
        </w:tc>
        <w:tc>
          <w:tcPr>
            <w:tcW w:type="dxa" w:w="2400"/>
          </w:tcPr>
          <w:p>
            <w:r>
              <w:rPr>
                <w:b w:val="false"/>
                <w:bCs w:val="false"/>
                <w:sz w:val="18"/>
                <w:szCs w:val="18"/>
              </w:rPr>
              <w:t xml:space="preserve">86.95 lakh warrants at Rs 115; promoters + 4 investors; 18-month conversion</w:t>
            </w:r>
          </w:p>
        </w:tc>
        <w:tc>
          <w:tcPr>
            <w:tcW w:type="dxa" w:w="900"/>
          </w:tcPr>
          <w:p>
            <w:r>
              <w:rPr>
                <w:b w:val="false"/>
                <w:bCs w:val="false"/>
                <w:sz w:val="18"/>
                <w:szCs w:val="18"/>
              </w:rPr>
              <w:t xml:space="preserve">FY28</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Near-term revenue growth of 10-15%</w:t>
            </w:r>
          </w:p>
        </w:tc>
        <w:tc>
          <w:tcPr>
            <w:tcW w:type="dxa" w:w="2400"/>
          </w:tcPr>
          <w:p>
            <w:r>
              <w:rPr>
                <w:b w:val="false"/>
                <w:bCs w:val="false"/>
                <w:sz w:val="18"/>
                <w:szCs w:val="18"/>
              </w:rPr>
              <w:t xml:space="preserve">—</w:t>
            </w:r>
          </w:p>
        </w:tc>
        <w:tc>
          <w:tcPr>
            <w:tcW w:type="dxa" w:w="900"/>
          </w:tcPr>
          <w:p>
            <w:r>
              <w:rPr>
                <w:b w:val="false"/>
                <w:bCs w:val="false"/>
                <w:sz w:val="18"/>
                <w:szCs w:val="18"/>
              </w:rPr>
              <w:t xml:space="preserve">12M</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bCs/>
          <w:color w:val="A32020"/>
          <w:sz w:val="20"/>
          <w:szCs w:val="20"/>
        </w:rPr>
        <w:t xml:space="preserve">Kesda SS Phase-1 commissioning (end-FY27)</w:t>
      </w:r>
      <w:r>
        <w:rPr>
          <w:color w:val="666666"/>
          <w:sz w:val="20"/>
          <w:szCs w:val="20"/>
        </w:rPr>
        <w:t xml:space="preserve"> → </w:t>
      </w:r>
      <w:r>
        <w:rPr>
          <w:b w:val="false"/>
          <w:bCs w:val="false"/>
          <w:sz w:val="20"/>
          <w:szCs w:val="20"/>
        </w:rPr>
        <w:t xml:space="preserve">SS volume ramp FY28</w:t>
      </w:r>
      <w:r>
        <w:rPr>
          <w:color w:val="666666"/>
          <w:sz w:val="20"/>
          <w:szCs w:val="20"/>
        </w:rPr>
        <w:t xml:space="preserve"> → </w:t>
      </w:r>
      <w:r>
        <w:rPr>
          <w:b w:val="false"/>
          <w:bCs w:val="false"/>
          <w:sz w:val="20"/>
          <w:szCs w:val="20"/>
        </w:rPr>
        <w:t xml:space="preserve">VAP / stainless mix shift up</w:t>
      </w:r>
      <w:r>
        <w:rPr>
          <w:color w:val="666666"/>
          <w:sz w:val="20"/>
          <w:szCs w:val="20"/>
        </w:rPr>
        <w:t xml:space="preserve"> → </w:t>
      </w:r>
      <w:r>
        <w:rPr>
          <w:b w:val="false"/>
          <w:bCs w:val="false"/>
          <w:sz w:val="20"/>
          <w:szCs w:val="20"/>
        </w:rPr>
        <w:t xml:space="preserve">revenue growth</w:t>
      </w:r>
      <w:r>
        <w:rPr>
          <w:color w:val="666666"/>
          <w:sz w:val="20"/>
          <w:szCs w:val="20"/>
        </w:rPr>
        <w:t xml:space="preserve"> → </w:t>
      </w:r>
      <w:r>
        <w:rPr>
          <w:b w:val="false"/>
          <w:bCs w:val="false"/>
          <w:sz w:val="20"/>
          <w:szCs w:val="20"/>
        </w:rPr>
        <w:t xml:space="preserve">operating leverage + lower interest post-deleverage</w:t>
      </w:r>
      <w:r>
        <w:rPr>
          <w:color w:val="666666"/>
          <w:sz w:val="20"/>
          <w:szCs w:val="20"/>
        </w:rPr>
        <w:t xml:space="preserve"> → </w:t>
      </w:r>
      <w:r>
        <w:rPr>
          <w:b w:val="false"/>
          <w:bCs w:val="false"/>
          <w:sz w:val="20"/>
          <w:szCs w:val="20"/>
        </w:rPr>
        <w:t xml:space="preserve">EBITDA margin 12-13%</w:t>
      </w:r>
      <w:r>
        <w:rPr>
          <w:color w:val="666666"/>
          <w:sz w:val="20"/>
          <w:szCs w:val="20"/>
        </w:rPr>
        <w:t xml:space="preserve"> → </w:t>
      </w:r>
      <w:r>
        <w:rPr>
          <w:b w:val="false"/>
          <w:bCs w:val="false"/>
          <w:sz w:val="20"/>
          <w:szCs w:val="20"/>
        </w:rPr>
        <w:t xml:space="preserve">PAT</w:t>
      </w:r>
    </w:p>
    <w:p>
      <w:pPr>
        <w:spacing w:after="120"/>
      </w:pPr>
      <w:r>
        <w:rPr>
          <w:color w:val="666666"/>
          <w:sz w:val="18"/>
          <w:szCs w:val="18"/>
        </w:rPr>
        <w:t xml:space="preserve">Bottleneck link: Kesda SS Phase-1 commissioning (end-FY27).</w:t>
      </w:r>
    </w:p>
    <w:p>
      <w:pPr>
        <w:spacing w:after="120"/>
      </w:pPr>
      <w:r>
        <w:rPr>
          <w:color w:val="666666"/>
          <w:sz w:val="18"/>
          <w:szCs w:val="18"/>
        </w:rPr>
        <w:t xml:space="preserve">Operating leverage: yes on the cost side — lower interest from deleveraging + fixed-cost absorption on new SS capacity; but management guides blended EBITDA margin DOWN to 10-12% as the steel-price tailwind normalises, so revenue growth, not margin, is the near-term PAT driver</w:t>
      </w:r>
    </w:p>
    <w:p>
      <w:pPr>
        <w:spacing w:after="120"/>
      </w:pPr>
      <w:r>
        <w:rPr>
          <w:color w:val="666666"/>
          <w:sz w:val="18"/>
          <w:szCs w:val="18"/>
        </w:rPr>
        <w:t xml:space="preserve">Evidenced: revenue growth; VAP / stainless mix shift up. Still assumed: SS volume ramp FY28; operating leverage + lower interest post-deleverage; EBITDA margin 12-13%.</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2026-08-30</w:t>
            </w:r>
          </w:p>
        </w:tc>
      </w:tr>
      <w:tr>
        <w:tc>
          <w:tcPr>
            <w:tcW w:type="dxa" w:w="3200"/>
            <w:shd w:fill="F2F2F2" w:val="clear"/>
          </w:tcPr>
          <w:p>
            <w:r>
              <w:rPr>
                <w:b/>
                <w:bCs/>
              </w:rPr>
              <w:t xml:space="preserve">Price / multiple</w:t>
            </w:r>
          </w:p>
        </w:tc>
        <w:tc>
          <w:tcPr>
            <w:tcW w:type="dxa" w:w="5800"/>
          </w:tcPr>
          <w:p>
            <w:r>
              <w:t xml:space="preserve">Rs 127 · 22.6x P/E · 12x EV/EBITDA</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~22.6x trailing / ~12x EV/EBITDA on a cyclical-but-integrated manufacturer implies roughly 18-20% EPS CAGR FY26-FY28 to hold the multiple against a ~16x through-cycle exit — i.e. the market is pricing continued double-digit growth but broadly assuming margins normalise toward guidance</w:t>
            </w:r>
          </w:p>
        </w:tc>
      </w:tr>
      <w:tr>
        <w:tc>
          <w:tcPr>
            <w:tcW w:type="dxa" w:w="3200"/>
            <w:shd w:fill="F2F2F2" w:val="clear"/>
          </w:tcPr>
          <w:p>
            <w:r>
              <w:rPr>
                <w:b/>
                <w:bCs/>
              </w:rPr>
              <w:t xml:space="preserve">Our FY27</w:t>
            </w:r>
          </w:p>
        </w:tc>
        <w:tc>
          <w:tcPr>
            <w:tcW w:type="dxa" w:w="5800"/>
          </w:tcPr>
          <w:p>
            <w:r>
              <w:t xml:space="preserve">Revenue +15-20%, EBITDA margin drifting toward 11-12% from the Q1 ~13%, PAT ~Rs 170-190 Cr (community base-case Rs 170-180 Cr)</w:t>
            </w:r>
          </w:p>
        </w:tc>
      </w:tr>
      <w:tr>
        <w:tc>
          <w:tcPr>
            <w:tcW w:type="dxa" w:w="3200"/>
            <w:shd w:fill="F2F2F2" w:val="clear"/>
          </w:tcPr>
          <w:p>
            <w:r>
              <w:rPr>
                <w:b/>
                <w:bCs/>
              </w:rPr>
              <w:t xml:space="preserve">Our FY28</w:t>
            </w:r>
          </w:p>
        </w:tc>
        <w:tc>
          <w:tcPr>
            <w:tcW w:type="dxa" w:w="5800"/>
          </w:tcPr>
          <w:p>
            <w:r>
              <w:t xml:space="preserve">Second leg from Kesda stainless volumes + full-year post-deleverage interest savings; margin mix improves as SS scales</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capacity</w:t>
            </w:r>
          </w:p>
        </w:tc>
      </w:tr>
      <w:tr>
        <w:tc>
          <w:tcPr>
            <w:tcW w:type="dxa" w:w="3200"/>
            <w:shd w:fill="F2F2F2" w:val="clear"/>
          </w:tcPr>
          <w:p>
            <w:r>
              <w:rPr>
                <w:b/>
                <w:bCs/>
              </w:rPr>
              <w:t xml:space="preserve">Gap magnitude</w:t>
            </w:r>
          </w:p>
        </w:tc>
        <w:tc>
          <w:tcPr>
            <w:tcW w:type="dxa" w:w="5800"/>
          </w:tcPr>
          <w:p>
            <w:r>
              <w:t xml:space="preserve">10% (our FY28 PAT vs implied)</w:t>
            </w:r>
          </w:p>
        </w:tc>
      </w:tr>
      <w:tr>
        <w:tc>
          <w:tcPr>
            <w:tcW w:type="dxa" w:w="3200"/>
            <w:shd w:fill="F2F2F2" w:val="clear"/>
          </w:tcPr>
          <w:p>
            <w:r>
              <w:rPr>
                <w:b/>
                <w:bCs/>
              </w:rPr>
              <w:t xml:space="preserve">Gap basis</w:t>
            </w:r>
          </w:p>
        </w:tc>
        <w:tc>
          <w:tcPr>
            <w:tcW w:type="dxa" w:w="5800"/>
          </w:tcPr>
          <w:p>
            <w:r>
              <w:t xml:space="preserve">FY28 stainless-steel operating leverage and the interest savings from a net-debt-&lt;Rs 200-Cr balance sheet are not fully in a 22.6x trailing multiple that is also discounting margin normalisation; the deleverage is further along than the market seems to credit</w:t>
            </w:r>
          </w:p>
        </w:tc>
      </w:tr>
      <w:tr>
        <w:tc>
          <w:tcPr>
            <w:tcW w:type="dxa" w:w="3200"/>
            <w:shd w:fill="F2F2F2" w:val="clear"/>
          </w:tcPr>
          <w:p>
            <w:r>
              <w:rPr>
                <w:b/>
                <w:bCs/>
              </w:rPr>
              <w:t xml:space="preserve">Evidence quality</w:t>
            </w:r>
          </w:p>
        </w:tc>
        <w:tc>
          <w:tcPr>
            <w:tcW w:type="dxa" w:w="5800"/>
          </w:tcPr>
          <w:p>
            <w:r>
              <w:t xml:space="preserve">monitor</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Kesda stainless Phase-1 commissioning (targeted end-FY27) + first FY28 quarters showing SS contribution and post-deleverage interest savings, alongside proof margins hold near the 10-12% guide as steel pricing normalises</w:t>
      </w:r>
      <w:r>
        <w:rPr>
          <w:color w:val="666666"/>
          <w:sz w:val="18"/>
          <w:szCs w:val="18"/>
        </w:rPr>
        <w:t xml:space="preserve"> (window ~14M from 2026-08-30; 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India infrastructure / construction capex + import substitution in stainless and coated steel tubes</w:t>
            </w:r>
          </w:p>
        </w:tc>
      </w:tr>
      <w:tr>
        <w:tc>
          <w:tcPr>
            <w:tcW w:type="dxa" w:w="3200"/>
            <w:shd w:fill="F2F2F2" w:val="clear"/>
          </w:tcPr>
          <w:p>
            <w:r>
              <w:rPr>
                <w:b/>
                <w:bCs/>
              </w:rPr>
              <w:t xml:space="preserve">This company's position</w:t>
            </w:r>
          </w:p>
        </w:tc>
        <w:tc>
          <w:tcPr>
            <w:tcW w:type="dxa" w:w="5800"/>
          </w:tcPr>
          <w:p>
            <w:r>
              <w:t xml:space="preserve">backward-integrated ERW/GI/GP pipe maker (captive sponge iron -&gt; billet -&gt; HR coil -&gt; pipe) pivoting into stainless-steel melt-roll and coils</w:t>
            </w:r>
          </w:p>
        </w:tc>
      </w:tr>
      <w:tr>
        <w:tc>
          <w:tcPr>
            <w:tcW w:type="dxa" w:w="3200"/>
            <w:shd w:fill="F2F2F2" w:val="clear"/>
          </w:tcPr>
          <w:p>
            <w:r>
              <w:rPr>
                <w:b/>
                <w:bCs/>
              </w:rPr>
              <w:t xml:space="preserve">Bottleneck node (pricing power)</w:t>
            </w:r>
          </w:p>
        </w:tc>
        <w:tc>
          <w:tcPr>
            <w:tcW w:type="dxa" w:w="5800"/>
          </w:tcPr>
          <w:p>
            <w:r>
              <w:t xml:space="preserve">captive upstream (sponge iron / HR coil) — the integration is where the margin edge over non-integrated converters sits; stainless adds a second, less-crowded node</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APL Apollo Tubes, Hariom Pipe Industries, JTL Industries, Goodluck India</w:t>
            </w:r>
          </w:p>
        </w:tc>
      </w:tr>
    </w:tbl>
    <w:p>
      <w:pPr>
        <w:spacing w:after="120"/>
      </w:pPr>
      <w:r>
        <w:rPr>
          <w:color w:val="666666"/>
          <w:sz w:val="18"/>
          <w:szCs w:val="18"/>
        </w:rPr>
        <w:t xml:space="preserve">The ERW/GI pipe industry is adding capacity broadly (APL Apollo, JTL, Hariom, Goodluck), so watch for a glut in commodity pipe; Sambhv's differentiation is captive inputs plus a stainless pivot where fewer integrated domestic players compete.</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backward integration cost advantage (structural); VAP / stainless mix shift up (structural); favourable steel pricing in Q4 FY26 - Q1 FY27 (cyclical); operating leverage on higher utilisation (structural).</w:t>
      </w:r>
    </w:p>
    <w:p>
      <w:pPr>
        <w:spacing w:after="120"/>
      </w:pPr>
      <w:r>
        <w:rPr>
          <w:color w:val="666666"/>
          <w:sz w:val="18"/>
          <w:szCs w:val="18"/>
        </w:rPr>
        <w:t xml:space="preserve">Management guides FY27 EBITDA/tonne Rs 7,000-8,000 and blended EBITDA margin 10-12% (10% floor) versus Q1 FY27's &gt;Rs 10,000 and ~13% — current earnings carry a steel-price tailwind; a normalised PAT is meaningfully below an annualised Q1, and the Dec-2025 quarter (9% OPM) marks the downside.</w:t>
      </w:r>
    </w:p>
    <w:p>
      <w:pPr>
        <w:spacing w:after="60" w:before="120"/>
      </w:pPr>
      <w:r>
        <w:rPr>
          <w:b/>
          <w:bCs/>
          <w:sz w:val="20"/>
          <w:szCs w:val="20"/>
        </w:rPr>
        <w:t xml:space="preserve">Growth trajectory: </w:t>
      </w:r>
      <w:r>
        <w:rPr>
          <w:b w:val="false"/>
          <w:bCs w:val="false"/>
          <w:sz w:val="20"/>
          <w:szCs w:val="20"/>
        </w:rPr>
        <w:t xml:space="preserve">YoY growth rate is lumpy</w:t>
      </w:r>
    </w:p>
    <w:p>
      <w:pPr>
        <w:spacing w:after="120"/>
      </w:pPr>
      <w:r>
        <w:rPr>
          <w:color w:val="666666"/>
          <w:sz w:val="18"/>
          <w:szCs w:val="18"/>
        </w:rPr>
        <w:t xml:space="preserve">Steel-cycle-driven: OPM Q1FY26-&gt;Q1FY27 ran 13% -&gt; 10% -&gt; 9% (Dec-25 trough) -&gt; 13% -&gt; 13%; PAT Rs 33 -&gt; 30 -&gt; 24 -&gt; 56 -&gt; 57 Cr; revenue YoY +38% (Q4 FY26) and +31% (Q1 FY27). VAP volume growth is the steadier line at ~+27% YoY in Q1 FY27.</w:t>
      </w:r>
    </w:p>
    <w:p>
      <w:pPr>
        <w:spacing w:after="120"/>
      </w:pPr>
      <w:r>
        <w:rPr>
          <w:color w:val="666666"/>
          <w:sz w:val="18"/>
          <w:szCs w:val="18"/>
        </w:rPr>
        <w:t xml:space="preserve">Reverse P/E: At ~22.6x trailing / ~12x EV/EBITDA the market needs ~18-20% EPS CAGR FY26-28; achievable if stainless ramps on schedule and margins hold near the 10-12% guide, but a steel-price down-leg (cf. Dec-2025) would break it — hence 'lumpy' rather than a clean trend.</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Capital allocation</w:t>
            </w:r>
          </w:p>
        </w:tc>
        <w:tc>
          <w:tcPr>
            <w:tcW w:type="dxa" w:w="5800"/>
          </w:tcPr>
          <w:p>
            <w:r>
              <w:t xml:space="preserve">Aggressive post-IPO deleveraging (debt Rs 536 Cr FY25 -&gt; Rs 378 Cr FY26, +Rs 390 Cr repaid Jul 2026, net-debt target &lt;Rs 200 Cr); capex funded mostly by internal accrual + a ~Rs 675 Cr term loan + Rs 100 Cr promoter-participated warrants; no dividend (reinvesting); 3-yr incremental ROCE ~18-19%; no unrelated diversification.</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reliable</w:t>
            </w:r>
          </w:p>
        </w:tc>
      </w:tr>
      <w:tr>
        <w:tc>
          <w:tcPr>
            <w:tcW w:type="dxa" w:w="3200"/>
            <w:shd w:fill="F2F2F2" w:val="clear"/>
          </w:tcPr>
          <w:p>
            <w:r>
              <w:rPr>
                <w:b/>
                <w:bCs/>
              </w:rPr>
              <w:t xml:space="preserve">Shareholder returns</w:t>
            </w:r>
          </w:p>
        </w:tc>
        <w:tc>
          <w:tcPr>
            <w:tcW w:type="dxa" w:w="5800"/>
          </w:tcPr>
          <w:p>
            <w:r>
              <w:t xml:space="preserve">—</w:t>
            </w:r>
          </w:p>
        </w:tc>
      </w:tr>
      <w:tr>
        <w:tc>
          <w:tcPr>
            <w:tcW w:type="dxa" w:w="3200"/>
            <w:shd w:fill="F2F2F2" w:val="clear"/>
          </w:tcPr>
          <w:p>
            <w:r>
              <w:rPr>
                <w:b/>
                <w:bCs/>
              </w:rPr>
              <w:t xml:space="preserve">Capability ladder / VAP</w:t>
            </w:r>
          </w:p>
        </w:tc>
        <w:tc>
          <w:tcPr>
            <w:tcW w:type="dxa" w:w="5800"/>
          </w:tcPr>
          <w:p>
            <w:r>
              <w:t xml:space="preserve">Explicit move up the value-added curve: commodity ERW -&gt; GI/GP coated -&gt; stainless-steel melt-roll and coils (Kesda), with VAP share and stainless framed as the margin drivers.</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19% (improving)</w:t>
            </w:r>
          </w:p>
        </w:tc>
      </w:tr>
      <w:tr>
        <w:tc>
          <w:tcPr>
            <w:tcW w:type="dxa" w:w="3200"/>
            <w:shd w:fill="F2F2F2" w:val="clear"/>
          </w:tcPr>
          <w:p>
            <w:r>
              <w:rPr>
                <w:b/>
                <w:bCs/>
              </w:rPr>
              <w:t xml:space="preserve">Leverage</w:t>
            </w:r>
          </w:p>
        </w:tc>
        <w:tc>
          <w:tcPr>
            <w:tcW w:type="dxa" w:w="5800"/>
          </w:tcPr>
          <w:p>
            <w:r>
              <w:t xml:space="preserve">Net debt/EBITDA 1.3x</w:t>
            </w:r>
          </w:p>
        </w:tc>
      </w:tr>
      <w:tr>
        <w:tc>
          <w:tcPr>
            <w:tcW w:type="dxa" w:w="3200"/>
            <w:shd w:fill="F2F2F2" w:val="clear"/>
          </w:tcPr>
          <w:p>
            <w:r>
              <w:rPr>
                <w:b/>
                <w:bCs/>
              </w:rPr>
              <w:t xml:space="preserve">FCF conversion</w:t>
            </w:r>
          </w:p>
        </w:tc>
        <w:tc>
          <w:tcPr>
            <w:tcW w:type="dxa" w:w="5800"/>
          </w:tcPr>
          <w:p>
            <w:r>
              <w:t xml:space="preserve">-78%</w:t>
            </w:r>
          </w:p>
        </w:tc>
      </w:tr>
      <w:tr>
        <w:tc>
          <w:tcPr>
            <w:tcW w:type="dxa" w:w="3200"/>
            <w:shd w:fill="F2F2F2" w:val="clear"/>
          </w:tcPr>
          <w:p>
            <w:r>
              <w:rPr>
                <w:b/>
                <w:bCs/>
              </w:rPr>
              <w:t xml:space="preserve">Margin trend</w:t>
            </w:r>
          </w:p>
        </w:tc>
        <w:tc>
          <w:tcPr>
            <w:tcW w:type="dxa" w:w="5800"/>
          </w:tcPr>
          <w:p>
            <w:r>
              <w:t xml:space="preserve">stable</w:t>
            </w:r>
          </w:p>
        </w:tc>
      </w:tr>
      <w:tr>
        <w:tc>
          <w:tcPr>
            <w:tcW w:type="dxa" w:w="3200"/>
            <w:shd w:fill="F2F2F2" w:val="clear"/>
          </w:tcPr>
          <w:p>
            <w:r>
              <w:rPr>
                <w:b/>
                <w:bCs/>
              </w:rPr>
              <w:t xml:space="preserve">Capex efficiency</w:t>
            </w:r>
          </w:p>
        </w:tc>
        <w:tc>
          <w:tcPr>
            <w:tcW w:type="dxa" w:w="5800"/>
          </w:tcPr>
          <w:p>
            <w:r>
              <w:t xml:space="preserve">neutral</w:t>
            </w:r>
          </w:p>
        </w:tc>
      </w:tr>
    </w:tbl>
    <w:p>
      <w:pPr>
        <w:spacing w:after="60" w:before="120"/>
      </w:pPr>
      <w:r>
        <w:rPr>
          <w:b/>
          <w:bCs/>
          <w:sz w:val="20"/>
          <w:szCs w:val="20"/>
        </w:rPr>
        <w:t xml:space="preserve">Track record (Coffee Can persistence check): </w:t>
      </w:r>
      <w:r>
        <w:rPr>
          <w:sz w:val="20"/>
          <w:szCs w:val="20"/>
        </w:rPr>
        <w:t xml:space="preserve">cleared revenue growth ≥10% AND ROCE ≥15% in 4 of the last 5 years (consistency_score 80)</w:t>
      </w:r>
    </w:p>
    <w:p>
      <w:pPr>
        <w:spacing w:after="120"/>
      </w:pPr>
      <w:r>
        <w:rPr>
          <w:color w:val="666666"/>
          <w:sz w:val="18"/>
          <w:szCs w:val="18"/>
        </w:rPr>
        <w:t xml:space="preserve">screener.in FY22-FY26: revenue growth &gt;=10% every year (+71/+14/+37/+17/+60%); ROCE &gt;=15% in FY22 (23%), FY23 (22%), FY25 (19%), FY26 (19%) but only 14% in FY24 during the steel-cycle PAT dip. 4 of 5 years clear both. Pre-IPO base (listed 2025); FY21 ROCE 37% excluded as no prior-year growth rate.</w:t>
      </w:r>
    </w:p>
    <w:p>
      <w:pPr>
        <w:pStyle w:val="Heading1"/>
        <w:spacing w:after="120" w:before="280"/>
      </w:pPr>
      <w:r>
        <w:t xml:space="preserve">Technical Read (Weekly / Monthly MACD + Bollinger Bands, or RSI/CCI/Williams %R proxy)</w:t>
      </w:r>
    </w:p>
    <w:p>
      <w:pPr>
        <w:spacing w:after="120"/>
      </w:pPr>
      <w:r>
        <w:t xml:space="preserve">Not independently pulled this pass.</w:t>
      </w:r>
    </w:p>
    <w:p>
      <w:pPr>
        <w:pStyle w:val="Heading1"/>
        <w:spacing w:after="120" w:before="280"/>
      </w:pPr>
      <w:r>
        <w:t xml:space="preserve">ValuePickr Community Signal</w:t>
      </w:r>
    </w:p>
    <w:p>
      <w:pPr>
        <w:spacing w:after="120"/>
      </w:pPr>
      <w:r>
        <w:t xml:space="preserve">Read the most recent 50 of 142 posts (single batch, no escalation) spanning March 2025 to August 2026. Sentiment has been consistently positive and strengthening through the period, from an initial detailed business-model writeup, through a trusted user's fair funding/margin-timing question (Oct 2025), to consecutive strong quarters (Q4 FY26 and Q1 FY27) confirmed independently by two different active posters with real financial detail.</w:t>
      </w:r>
    </w:p>
    <w:p>
      <w:pPr>
        <w:spacing w:after="120"/>
      </w:pPr>
      <w:r>
        <w:rPr>
          <w:b/>
          <w:bCs/>
          <w:sz w:val="20"/>
          <w:szCs w:val="20"/>
        </w:rPr>
        <w:t xml:space="preserve">High-conviction call from a top contributor: </w:t>
      </w:r>
      <w:r>
        <w:rPr>
          <w:sz w:val="20"/>
          <w:szCs w:val="20"/>
        </w:rPr>
        <w:t xml:space="preserve">drjpatwa (trusted-roster) raised a specific, fair question in Oct 2025 about how the large FY28 capacity addition would be funded (how much additional debt) and whether near-term profitability would dip due to higher depreciation/staff/interest costs before operating leverage arrives later in FY28/FY29 - a genuine, still partly-open question given the capacity isn't live yet. richbandit (May 2026, most active poster, up to 12 loves) confirmed 'highest ever quarterly numbers' and the 'best concall they've done till date' for Q4 FY26, with utilization north of 40% guided for FY28. Shreyansh_Chandrakar did a detailed Q1 FY27 synthesis (Aug 2026): revenue ~Rs 732 Cr, EBITDA ~Rs 95 Cr, with EBITDA/tonne improving materially even as blended margin held near 13% - his own base-case estimate is Rs 170-180 Cr PAT for FY27 (deliberately not simply annualizing the strong Q1), with the bigger opportunity explicitly framed as FY28 once the stainless-steel expansion ramps.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2026-09-24 — suru27 (X)</w:t>
      </w:r>
      <w:r>
        <w:rPr>
          <w:i/>
          <w:iCs/>
          <w:color w:val="666666"/>
          <w:sz w:val="18"/>
          <w:szCs w:val="18"/>
        </w:rPr>
        <w:t xml:space="preserve"> (X / @suru27)</w:t>
      </w:r>
      <w:r>
        <w:rPr>
          <w:sz w:val="20"/>
          <w:szCs w:val="20"/>
        </w:rPr>
        <w:br/>
        <w:t xml:space="preserve">: Dedicated writeup on stainless CR coil pivot: absent from FY24 mix, ~26% of FY26 finished-goods sales by value; INR 810 Cr greenfield Phase-I at Kesda for stainless capacity.</w:t>
      </w:r>
    </w:p>
    <w:p>
      <w:pPr>
        <w:spacing w:after="100"/>
      </w:pPr>
      <w:r>
        <w:rPr>
          <w:b/>
          <w:bCs/>
          <w:sz w:val="20"/>
          <w:szCs w:val="20"/>
        </w:rPr>
        <w:t xml:space="preserve">2026-09-18 — LearningEleven (X)</w:t>
      </w:r>
      <w:r>
        <w:rPr>
          <w:i/>
          <w:iCs/>
          <w:color w:val="666666"/>
          <w:sz w:val="18"/>
          <w:szCs w:val="18"/>
        </w:rPr>
        <w:t xml:space="preserve"> (X / @LearningEleven)</w:t>
      </w:r>
      <w:r>
        <w:rPr>
          <w:sz w:val="20"/>
          <w:szCs w:val="20"/>
        </w:rPr>
        <w:br/>
        <w:t xml:space="preserve">: "Sambhv seem to have good prospects if they execute well" - in the same reply, turned more cautious on Welspun Corp given current valuations.</w:t>
      </w:r>
    </w:p>
    <w:p>
      <w:pPr>
        <w:pStyle w:val="Heading1"/>
        <w:spacing w:after="120" w:before="280"/>
      </w:pPr>
      <w:r>
        <w:t xml:space="preserve">BSE Corporate Actions / Other Red Flags</w:t>
      </w:r>
    </w:p>
    <w:p>
      <w:pPr>
        <w:spacing w:after="120"/>
      </w:pPr>
      <w:r>
        <w:t xml:space="preserve">Not independently checked this pass.</w:t>
      </w:r>
    </w:p>
    <w:p>
      <w:pPr>
        <w:pStyle w:val="Heading1"/>
        <w:spacing w:after="120" w:before="280"/>
      </w:pPr>
      <w:r>
        <w:t xml:space="preserve">Bull Case</w:t>
      </w:r>
    </w:p>
    <w:p>
      <w:pPr>
        <w:pStyle w:val="ListParagraph"/>
        <w:numPr>
          <w:ilvl w:val="0"/>
          <w:numId w:val="1"/>
        </w:numPr>
        <w:spacing w:after="60"/>
      </w:pPr>
      <w:r>
        <w:t xml:space="preserve">Funding question largely de-risked: gross debt down to Rs 378 Cr (FY26) from Rs 536 Cr, ~Rs 390 Cr more repaid Jul 2026, net-debt target &lt;Rs 200 Cr by FY27-end; capex funded by internal accrual + modest term loan + Rs 100 Cr promoter-participated warrants</w:t>
      </w:r>
    </w:p>
    <w:p>
      <w:pPr>
        <w:pStyle w:val="ListParagraph"/>
        <w:numPr>
          <w:ilvl w:val="0"/>
          <w:numId w:val="1"/>
        </w:numPr>
        <w:spacing w:after="60"/>
      </w:pPr>
      <w:r>
        <w:t xml:space="preserve">Genuine backward integration (captive sponge iron -&gt; billet -&gt; HR coil -&gt; pipe) is a structural cost advantage over non-integrated ERW/GI peers, and drives a steady ~27% YoY VAP volume growth</w:t>
      </w:r>
    </w:p>
    <w:p>
      <w:pPr>
        <w:pStyle w:val="ListParagraph"/>
        <w:numPr>
          <w:ilvl w:val="0"/>
          <w:numId w:val="1"/>
        </w:numPr>
        <w:spacing w:after="60"/>
      </w:pPr>
      <w:r>
        <w:t xml:space="preserve">Clear, dated forward catalyst: Kesda stainless-steel Phase-1 (360kt SS melt-roll) targeted end-FY27, contributing FY28 — a move into a higher-margin product with fewer integrated domestic players</w:t>
      </w:r>
    </w:p>
    <w:p>
      <w:pPr>
        <w:pStyle w:val="ListParagraph"/>
        <w:numPr>
          <w:ilvl w:val="0"/>
          <w:numId w:val="1"/>
        </w:numPr>
        <w:spacing w:after="60"/>
      </w:pPr>
      <w:r>
        <w:t xml:space="preserve">Capacity roadmap from ~470kt now toward ~900kt by end-2027 and ~2.03 MMTPA finished over 4-5 years (roughly 3x), with Sarora pipe-mill and 30 MW power-plant capex board-approved May 2026</w:t>
      </w:r>
    </w:p>
    <w:p>
      <w:pPr>
        <w:pStyle w:val="ListParagraph"/>
        <w:numPr>
          <w:ilvl w:val="0"/>
          <w:numId w:val="1"/>
        </w:numPr>
        <w:spacing w:after="60"/>
      </w:pPr>
      <w:r>
        <w:t xml:space="preserve">CRISIL A+/Stable; promoter 56% with nil pledge; conservative EBITDA/tonne guidance that Q1 FY27 comfortably beat</w:t>
      </w:r>
    </w:p>
    <w:p>
      <w:pPr>
        <w:pStyle w:val="Heading1"/>
        <w:spacing w:after="120" w:before="280"/>
      </w:pPr>
      <w:r>
        <w:t xml:space="preserve">Bear Case / Key Risks</w:t>
      </w:r>
    </w:p>
    <w:p>
      <w:pPr>
        <w:pStyle w:val="ListParagraph"/>
        <w:numPr>
          <w:ilvl w:val="0"/>
          <w:numId w:val="1"/>
        </w:numPr>
        <w:spacing w:after="60"/>
      </w:pPr>
      <w:r>
        <w:t xml:space="preserve">Management's own Q1 FY27 EBITDA/tonne (&gt;Rs 10,000) sits well above its through-cycle guide of Rs 7,000-8,000 and margin guide of 10-12% — current earnings carry a steel-price tailwind, so an annualised Q1 overstates normalised PAT</w:t>
      </w:r>
    </w:p>
    <w:p>
      <w:pPr>
        <w:pStyle w:val="ListParagraph"/>
        <w:numPr>
          <w:ilvl w:val="0"/>
          <w:numId w:val="1"/>
        </w:numPr>
        <w:spacing w:after="60"/>
      </w:pPr>
      <w:r>
        <w:t xml:space="preserve">Steel-cycle sensitivity is proven, not hypothetical: the Dec-2025 quarter saw OPM fall to 9% and PAT to Rs 24 Cr on destocking / price movement</w:t>
      </w:r>
    </w:p>
    <w:p>
      <w:pPr>
        <w:pStyle w:val="ListParagraph"/>
        <w:numPr>
          <w:ilvl w:val="0"/>
          <w:numId w:val="1"/>
        </w:numPr>
        <w:spacing w:after="60"/>
      </w:pPr>
      <w:r>
        <w:t xml:space="preserve">FY26 CFO/EBITDA around 66% — working capital is absorbing cash during the growth phase; the stainless capex still adds depreciation/interest before FY28 operating leverage arrives</w:t>
      </w:r>
    </w:p>
    <w:p>
      <w:pPr>
        <w:pStyle w:val="ListParagraph"/>
        <w:numPr>
          <w:ilvl w:val="0"/>
          <w:numId w:val="1"/>
        </w:numPr>
        <w:spacing w:after="60"/>
      </w:pPr>
      <w:r>
        <w:t xml:space="preserve">Warrant issue (Rs 100 Cr at Rs 115) and the SS term loan add some dilution/leverage even as legacy debt is repaid</w:t>
      </w:r>
    </w:p>
    <w:p>
      <w:pPr>
        <w:pStyle w:val="ListParagraph"/>
        <w:numPr>
          <w:ilvl w:val="0"/>
          <w:numId w:val="1"/>
        </w:numPr>
        <w:spacing w:after="60"/>
      </w:pPr>
      <w:r>
        <w:t xml:space="preserve">Recent IPO (2025) — limited multi-year public track record through a full cycle; RPT / governance detail not independently verified this pass</w:t>
      </w:r>
    </w:p>
    <w:p>
      <w:pPr>
        <w:pStyle w:val="Heading1"/>
        <w:spacing w:after="120" w:before="280"/>
      </w:pPr>
      <w:r>
        <w:t xml:space="preserve">Market-Cap Tier (informational — not a gate in this project)</w:t>
      </w:r>
    </w:p>
    <w:p>
      <w:pPr>
        <w:spacing w:after="120"/>
      </w:pPr>
      <w:r>
        <w:rPr>
          <w:b/>
          <w:bCs/>
        </w:rPr>
        <w:t xml:space="preserve">Small-cap (~Rs 3,750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yes · moat: yes · valuation: weak  (score 3.5 / 4)</w:t>
      </w:r>
    </w:p>
    <w:p>
      <w:pPr>
        <w:spacing w:after="120"/>
      </w:pPr>
      <w:r>
        <w:rPr>
          <w:i/>
          <w:iCs/>
          <w:color w:val="666666"/>
          <w:sz w:val="20"/>
          <w:szCs w:val="20"/>
        </w:rPr>
        <w:t xml:space="preserve">Infra/import-substitution tailwind; stainless pivot into less-crowded node = TAM headroom; captive-upstream integration is real cost moat; gap=partially-priced, peak_margin_risk flagged</w:t>
      </w:r>
    </w:p>
    <w:p>
      <w:pPr>
        <w:pStyle w:val="Heading1"/>
        <w:spacing w:after="120" w:before="280"/>
      </w:pPr>
      <w:r>
        <w:t xml:space="preserve">Verdict</w:t>
      </w:r>
    </w:p>
    <w:p>
      <w:pPr>
        <w:spacing w:after="120"/>
      </w:pPr>
      <w:r>
        <w:rPr>
          <w:b/>
          <w:bCs/>
          <w:sz w:val="24"/>
          <w:szCs w:val="24"/>
        </w:rPr>
        <w:t xml:space="preserve">Accelerating execution plus a now well-funded FY28 stainless catalyst — the funding worry is largely answered; the new watch-item is that current margins run above management's own through-cycle guide</w:t>
      </w:r>
    </w:p>
    <w:p>
      <w:pPr>
        <w:pStyle w:val="ListParagraph"/>
        <w:numPr>
          <w:ilvl w:val="0"/>
          <w:numId w:val="1"/>
        </w:numPr>
        <w:spacing w:after="60"/>
      </w:pPr>
      <w:r>
        <w:t xml:space="preserve">The deep read closes the trusted user's Oct-2025 funding/leverage question: debt is down, a large repayment is done, a net-debt-below-Rs-200-Cr target is stated, and the capex is funded through a balanced mix rather than a single large raise</w:t>
      </w:r>
    </w:p>
    <w:p>
      <w:pPr>
        <w:pStyle w:val="ListParagraph"/>
        <w:numPr>
          <w:ilvl w:val="0"/>
          <w:numId w:val="1"/>
        </w:numPr>
        <w:spacing w:after="60"/>
      </w:pPr>
      <w:r>
        <w:t xml:space="preserve">The FY28 stainless-steel catalyst is specific and dated (Kesda Phase-1, 360kt, targeted end-FY27) and moves the company up the value-added curve into a product with fewer integrated domestic competitors</w:t>
      </w:r>
    </w:p>
    <w:p>
      <w:pPr>
        <w:pStyle w:val="ListParagraph"/>
        <w:numPr>
          <w:ilvl w:val="0"/>
          <w:numId w:val="1"/>
        </w:numPr>
        <w:spacing w:after="60"/>
      </w:pPr>
      <w:r>
        <w:t xml:space="preserve">Against that, management itself flags that Q1 FY27 EBITDA/tonne is above the sustainable Rs 7,000-8,000 range and blended margin should normalise to 10-12%; the Dec-2025 quarter shows the downside — so conviction stays Medium-High rather than moving up, with peak-margin normalisation as the explicit watch-item</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Sambhv Steel Tubes</w:t>
      </w:r>
    </w:p>
    <w:p>
      <w:pPr>
        <w:ind w:left="360"/>
      </w:pPr>
      <w:r>
        <w:t xml:space="preserve">  • Conviction: Not rated</w:t>
      </w:r>
    </w:p>
    <w:p>
      <w:pPr>
        <w:ind w:left="360"/>
      </w:pPr>
      <w:r>
        <w:t xml:space="preserve">  • Thesis: 10x-in-2-3-years</w:t>
      </w:r>
    </w:p>
    <w:p>
      <w:pPr>
        <w:ind w:left="360"/>
      </w:pPr>
      <w:r>
        <w:t xml:space="preserve">  • 4-Box Score: 3.5</w:t>
      </w:r>
    </w:p>
    <w:p>
      <w:pPr>
        <w:ind w:left="360"/>
      </w:pPr>
      <w:r>
        <w:t xml:space="preserve">  • Research Date: 2026-08-30</w:t>
      </w:r>
    </w:p>
    <w:p>
      <w:pPr>
        <w:ind w:left="360"/>
      </w:pPr>
      <w:r>
        <w:t xml:space="preserve">  • Red Flag: None</w:t>
      </w:r>
    </w:p>
    <w:p/>
    <w:p>
      <w:r>
        <w:rPr>
          <w:b/>
        </w:rPr>
        <w:t>📝 Verdict:</w:t>
      </w:r>
    </w:p>
    <w:p>
      <w:pPr>
        <w:ind w:left="360"/>
      </w:pPr>
      <w:r>
        <w:t>Accelerating execution plus a now well-funded FY28 stainless catalyst — the funding worry is largely answered; the new watch-item is that current margins run above management's own through-cycle guide</w:t>
      </w:r>
    </w:p>
    <w:p/>
    <w:p>
      <w:r>
        <w:rPr>
          <w:b/>
        </w:rPr>
        <w:t>📈 Bull Case:</w:t>
      </w:r>
    </w:p>
    <w:p>
      <w:pPr>
        <w:ind w:left="360"/>
      </w:pPr>
      <w:r>
        <w:t>Funding question largely de-risked: gross debt down to Rs 378 Cr (FY26) from Rs 536 Cr, ~Rs 390 Cr more repaid Jul 2026, net-debt target &lt;Rs 200 Cr by FY27-end; capex funded by internal accrual + modest term loan + Rs 100 Cr promoter-participated warrants</w:t>
      </w:r>
    </w:p>
    <w:p>
      <w:pPr>
        <w:ind w:left="360"/>
      </w:pPr>
      <w:r>
        <w:t>Genuine backward integration (captive sponge iron -&gt; billet -&gt; HR coil -&gt; pipe) is a structural cost advantage over non-integrated ERW/GI peers, and drives a steady ~27% YoY VAP volume growth</w:t>
      </w:r>
    </w:p>
    <w:p>
      <w:pPr>
        <w:ind w:left="360"/>
      </w:pPr>
      <w:r>
        <w:t>Clear, dated forward catalyst: Kesda stainless-steel Phase-1 (360kt SS melt-roll) targeted end-FY27, contributing FY28 — a move into a higher-margin product with fewer integrated domestic players</w:t>
      </w:r>
    </w:p>
    <w:p>
      <w:pPr>
        <w:ind w:left="360"/>
      </w:pPr>
      <w:r>
        <w:t>Capacity roadmap from ~470kt now toward ~900kt by end-2027 and ~2.03 MMTPA finished over 4-5 years (roughly 3x), with Sarora pipe-mill and 30 MW power-plant capex board-approved May 2026</w:t>
      </w:r>
    </w:p>
    <w:p>
      <w:pPr>
        <w:ind w:left="360"/>
      </w:pPr>
      <w:r>
        <w:t>CRISIL A+/Stable; promoter 56% with nil pledge; conservative EBITDA/tonne guidance that Q1 FY27 comfortably beat</w:t>
      </w:r>
    </w:p>
    <w:p/>
    <w:p>
      <w:r>
        <w:rPr>
          <w:b/>
        </w:rPr>
        <w:t>📉 Bear Case:</w:t>
      </w:r>
    </w:p>
    <w:p>
      <w:pPr>
        <w:ind w:left="360"/>
      </w:pPr>
      <w:r>
        <w:t>Management's own Q1 FY27 EBITDA/tonne (&gt;Rs 10,000) sits well above its through-cycle guide of Rs 7,000-8,000 and margin guide of 10-12% — current earnings carry a steel-price tailwind, so an annualised Q1 overstates normalised PAT</w:t>
      </w:r>
    </w:p>
    <w:p>
      <w:pPr>
        <w:ind w:left="360"/>
      </w:pPr>
      <w:r>
        <w:t>Steel-cycle sensitivity is proven, not hypothetical: the Dec-2025 quarter saw OPM fall to 9% and PAT to Rs 24 Cr on destocking / price movement</w:t>
      </w:r>
    </w:p>
    <w:p>
      <w:pPr>
        <w:ind w:left="360"/>
      </w:pPr>
      <w:r>
        <w:t>FY26 CFO/EBITDA around 66% — working capital is absorbing cash during the growth phase; the stainless capex still adds depreciation/interest before FY28 operating leverage arrives</w:t>
      </w:r>
    </w:p>
    <w:p>
      <w:pPr>
        <w:ind w:left="360"/>
      </w:pPr>
      <w:r>
        <w:t>Warrant issue (Rs 100 Cr at Rs 115) and the SS term loan add some dilution/leverage even as legacy debt is repaid</w:t>
      </w:r>
    </w:p>
    <w:p>
      <w:pPr>
        <w:ind w:left="360"/>
      </w:pPr>
      <w:r>
        <w:t>Recent IPO (2025) — limited multi-year public track record through a full cycle; RPT / governance detail not independently verified this pass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2026-09-24T14:01:24.055Z</dcterms:created>
  <dcterms:modified xsi:type="dcterms:W3CDTF">2026-09-24T14:01:24.061Z</dcterms:modified>
</cp:coreProperties>
</file>

<file path=docProps/custom.xml><?xml version="1.0" encoding="utf-8"?>
<Properties xmlns="http://schemas.openxmlformats.org/officeDocument/2006/custom-properties" xmlns:vt="http://schemas.openxmlformats.org/officeDocument/2006/docPropsVTypes"/>
</file>