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Sri Lotus Developers and Realty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Asset-light Mumbai luxury real-estate developer (Juhu-area 'Lotus Developers' brand) with genuinely explosive recent growth (+116% YoY revenue), high ROCE and low debt, but a rich ~40x P/E and a very short public track record since its 2025 IPO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Mumbai-based luxury residential developer operating an asset-light model via development/joint-development agreements (JDAs) rather than outright land acquisition, marketed under the 'Lotus Developers' brand which commands a ~22% pricing premium in the Juhu micro-market. IPO'd in 2025. Seeded via untrusted X triage (@nid_rockz,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10,228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Rs 209; range Rs 102 - Rs 215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21.2%; ROE 16.7% (3-yr ROE 28.0%)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June-2026 quarter net sales +115.8% YoY to Rs 132.4 Cr; net profit Rs 45.5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debt-to-equity ~7.9%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~39.8x; book value Rs 39.1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genuinely strong small-cap growth print: revenue more than doubled YoY in the most recent reported quarter, ROCE is a healthy 21.2% with a 3-year ROE track record of 28%, and the balance sheet is almost debt-free - the asset-light JDA model lets the company scale project count without loading up on land-acquisition debt. The brand premium (22% in Juhu) is a real, quantifiable differentiator versus generic developers. The main caution is track record: the company only IPO'd in 2025, so this is one strong quarter/print against a very short public history in an inherently lumpy, project-completion-driven revenue business, and the ~40x P/E already reflects meaningful optimism.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all-time/52-week high (Rs 209 vs range Rs 102-215) - strong recent price momentum consistent with the growth print.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under 'Sri Lotus Developers' or 'Lotus Developers Realty' (forum search returned no matches) - likely too recently listed (2025) to have an established community thread yet.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ValuePickr thread resolved for this name.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found. Recently listed (2025 IPO) - standard limited disclosure history for a new listing.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+115.8% YoY in the most recent quarter - genuinely explosive, not incremental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21.2%, 3-yr ROE 28% - strong capital efficiency for a real-estate developer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 JDA model avoids heavy land-bank debt; company is almost debt-free (D/E ~7.9%)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Quantifiable brand premium (22% pricing premium in the Juhu luxury micro-market) is a real moat element, not just marketing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short public track record (2025 IPO) - one strong quarter is not yet a proven multi-year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Real-estate revenue recognition is lumpy and project-completion-driven; the +116% print may partly reflect base-quarter timing rather than a sustainable run-rate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~40x P/E is rich for a real-estate developer, a sector that historically trades at much lower multiples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forum/community corroboration found to independently validate the growth thesis or surface execution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10,228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Mumbai luxury real-estate cycle and asset-light JDA scaling support tailwind/tam; a quantifiable 22% brand premium in the Juhu micro-market supports moat; valuation is rich at ~40x P/E. Score permits a 10x/100x label given the +115.8% YoY growth print.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Asset-light Mumbai luxury developer with genuinely explosive recent growth (+116% YoY), strong ROCE (21.2%) and an almost debt-free balance sheet - the numbers clear the bar for a 10x-in-2-3-years label, but conviction is capped at Medium given the very short public track record and no community corroboration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Mumbai luxury housing cycle; tam yes - MMR redevelopment/luxury pipeline; moat yes - quantifiable 22% brand premium plus asset-light JDA sourcing; valuation no - ~40x P/E). Score clears the 3.0 threshold that permits a 10x/100x label given the genuinely strong growth math (+116% YoY revenue) - analyst_override applied to assign 10x-in-2-3-years rather than defaulting to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capped at Medium per the rule: fundamentals alone support the label, but there is no forum/community corroboration (no ValuePickr thread found) and only a very short (since-2025) public track record to lean 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Sri Lotus Developers and Realty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2026-09-16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Asset-light Mumbai luxury developer with explosive forward pre-sales growth and a credible new institutional backer (Capital Group) - but this pass found a fresh promoter share sale, real margin contraction, and a real-estate-typical (not distress-driven) cash-flow drain the original light pass did not surface. Conviction downgraded modestly to Low-Medium; four_box and thesis_fit retained given the growth math and clean audit/pledge status.</w:t>
      </w:r>
    </w:p>
    <w:p/>
    <w:p>
      <w:r>
        <w:rPr>
          <w:b/>
        </w:rPr>
        <w:t>📈 Bull Case:</w:t>
      </w:r>
    </w:p>
    <w:p>
      <w:pPr>
        <w:ind w:left="360"/>
      </w:pPr>
      <w:r>
        <w:t>Explosive forward-looking momentum: Q1 FY27 pre-sales +567% YoY (Rs 409 Cr), with FY27 guidance of Rs 1,800-2,000 Cr pre-sales and 55-60% revenue/PAT growth, backed by 6 total project launches planned for FY27 (2 done, GDV Rs 1,350 Cr; 4 more, GDV Rs 3,500-4,000 Cr)</w:t>
      </w:r>
    </w:p>
    <w:p>
      <w:pPr>
        <w:ind w:left="360"/>
      </w:pPr>
      <w:r>
        <w:t>Credible new institutional validation: Capital Group (a major global asset manager) bought a 1.95% stake for ~Rs 190 Cr in September 2026</w:t>
      </w:r>
    </w:p>
    <w:p>
      <w:pPr>
        <w:ind w:left="360"/>
      </w:pPr>
      <w:r>
        <w:t>Quantifiable brand premium (22% pricing premium in the Juhu luxury micro-market) is a real moat element; asset-light JDA model avoids heavy land-bank debt</w:t>
      </w:r>
    </w:p>
    <w:p>
      <w:pPr>
        <w:ind w:left="360"/>
      </w:pPr>
      <w:r>
        <w:t>Almost debt-free with substantial net cash (~Rs 401-623 Cr) funding the current growth phase without leverage risk; clean, unmodified audit opinion</w:t>
      </w:r>
    </w:p>
    <w:p/>
    <w:p>
      <w:r>
        <w:rPr>
          <w:b/>
        </w:rPr>
        <w:t>📉 Bear Case:</w:t>
      </w:r>
    </w:p>
    <w:p>
      <w:pPr>
        <w:ind w:left="360"/>
      </w:pPr>
      <w:r>
        <w:t>EBITDA margin contracted sharply (-1160bps YoY to 36.4%) even as revenue/PAT grew - a real quality-of-growth caution the original pass did not surface</w:t>
      </w:r>
    </w:p>
    <w:p>
      <w:pPr>
        <w:ind w:left="360"/>
      </w:pPr>
      <w:r>
        <w:t>FY26 operating cash flow was -Rs 326 Cr with working-capital/inventory days deteriorating (392-&gt;520 WC days, 717 inventory days) - typical for a developer mid-build, but a real cash-conversion lag nonetheless</w:t>
      </w:r>
    </w:p>
    <w:p>
      <w:pPr>
        <w:ind w:left="360"/>
      </w:pPr>
      <w:r>
        <w:t>Promoter sold 97.7 lakh shares on Sep 10, 2026 (~2pp of holding, fresh and dated) - a modest but real insider-selling signal, even though the pledge status remains clean</w:t>
      </w:r>
    </w:p>
    <w:p>
      <w:pPr>
        <w:ind w:left="360"/>
      </w:pPr>
      <w:r>
        <w:t>Very short public track record (2025 IPO) - one strong quarter/pre-sales print is not yet a proven multi-year pattern in an inherently lumpy, project-completion-driven business</w:t>
      </w:r>
    </w:p>
    <w:p>
      <w:pPr>
        <w:ind w:left="360"/>
      </w:pPr>
      <w:r>
        <w:t>~41x P/E is rich for a real-estate developer, a sector that historically trades at much lower multiples; a minor GST Show Cause Notice remains open (company says immaterial)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2026-09-16T02:49:41.848Z</dcterms:created>
  <dcterms:modified xsi:type="dcterms:W3CDTF">2026-09-16T02:49:41.849Z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