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Susan Electricals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Just-listed small-cap maker of aluminium/copper winding wires, conductors and power cables for DISCOMs -- riding the grid-capex wave with 250%+ YoY revenue growth and a 60% capacity expansion, but the product is a commodity and the returns ratios flatter a tiny post-IPO equity base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Susan Electricals India (BSE: 544793, recently listed) manufactures aluminium- and copper-based electrical winding wires, conductors and power cables. It sells primarily to state electricity distribution companies (DISCOMs), EPC contractors, infrastructure companies and electrical-product OEMs. Revenue grew from ~Rs 49 Cr (FY21) to ~Rs 269 Cr (FY26); Q1 FY27 revenue ~Rs 95 Cr, +254% YoY. Capacity is being expanded ~60%.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651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~37% / ~64.6% (3-yr ROE ~54% -- inflated by a small post-IPO equity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269 Cr FY26 (~449% over 5 years); Q1 FY27 ~Rs 95 Cr, +254%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</w:t>
            </w:r>
          </w:p>
        </w:tc>
        <w:tc>
          <w:tcPr>
            <w:tcW w:type="dxa" w:w="5800"/>
          </w:tcPr>
          <w:p>
            <w:r>
              <w:t xml:space="preserve">~196% PAT CAGR over 5 years (off a tiny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~26x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52-wk range</w:t>
            </w:r>
          </w:p>
        </w:tc>
        <w:tc>
          <w:tcPr>
            <w:tcW w:type="dxa" w:w="5800"/>
          </w:tcPr>
          <w:p>
            <w:r>
              <w:t xml:space="preserve">~Rs 181 - 367 (CMP ~Rs 320)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growth is real and the balance sheet is currently clean, but two cautions: (1) winding wire / ACSR-type conductors are a fragmented commodity where realisations track LME aluminium/copper plus a thin conversion spread -- there is no pricing power; (2) ROE in the 50-64% band is a function of a very small equity base just after a SME-scale IPO and will normalise sharply as the balance sheet grows to fund the capex and working capital. DISCOM receivables are a structural working-capital risk in this customer segment.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320 · 26x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~26x trailing on a fragmented-commodity conductor/cable maker prices in continued hyper-growth; realisations are metal pass-through plus a thin conversion spread, so a durable &gt;20% earnings CAGR needs the ~60% capacity expansion to fill without margin or receivable slippage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350-420 Cr (growth decelerating off the FY26 trading-led spike), PAT ~Rs 20-26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 450-550 Cr, PAT ~Rs 26-34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26x P/E on a commodity converter whose FY26 growth was partly trading-led and whose headline 50-64% ROE is a small-post-IPO-equity artefact that compresses as capex + working capital pull in external funding.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Grid / transmission equipment (transformers, HV switchgear, HVDC, CRGO, insulators)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Low-value-add commodity input (aluminium/copper winding wire, ACSR-type conductors, LT/HT power cables) feeding DISCOM distribution-network build-out and electrical OEMs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Sits at the least-differentiated end of the grid value chain; the theme tailwind is real but the economics are volume, not margin.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29.1%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1.8x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-25%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Trading in the upper half of a wide post-listing range.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(search of categories 11/14/17 returned no match) -- topic_slug set null. Research is web/filings-based. Third-party coverage frames it as a grid-modernisation beneficiary and debates whether 279% revenue growth justifies the post-listing rally.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coverage. Lead originated from an untrusted X-triage handle (@BeatTheStreet10).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corporate-action red flags identified in the available window. Standard small/recently-listed-company caveats apply (limited public history, thin float).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exposure to a priority-1, accelerating theme -- grid / transmission equipment (conductors, cables) as India ramps distribution capex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Explosive recent growth (Q1 FY27 revenue +254% YoY) with a ~60% capacity expansion underway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headline ROCE/ROE and currently low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Undemanding-looking ~26x P/E relative to the growth rate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Winding wire / conductors are a commodity -- realisation is metal price plus a thin conversion margin, no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50-64% is a small-post-IPO-equity-base artefact and will compress materially as the company scales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DISCOM / EPC customer base carries structural receivables and payment-cycle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short listed history; growth is off a tiny base and may not annualise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 + working capital will require external funding, diluting the clean balance sheet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651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no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tailwind=yes (priority-1 accelerating grid-capex theme, conductor/cable keywords). tam=weak (commodity segment, small conversion-spread pool). moat=no (no pricing power, fragmented). valuation=weak (~26x with hyper-growth but SME re-rating/de-rating risk). Score 2.0 with a written un-ignorable-growth exception -&gt; return-magnitude label permitted, conviction capped at Medium.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 grid-capex growth story at an early, high-risk stage -- label allowed only on the small-cap live-inflection carve-out; conviction Low-Medium,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Live-theme match: priority-1 'Grid / transmission equipment' (keywords conductor, cable, high voltage, substation) -- an accelerating global tailwind, which is why an early-stage commodity name still gets the return-magnitude label.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Written exception (four_box score 2.0): un-ignorable recent growth -- Q1 FY27 revenue +254% YoY plus a ~60% capacity expansion into a live, accelerating grid-capex cycle -- justifies '10x-in-2-3-years' despite tam=weak and moat=no; conviction is capped at Medium and set at Low-Medium with an 'unconfirmed' caveat because the product has no pricing power and the returns ratios are flattered by a tiny equity base.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after two quarters: does revenue growth annualise, does ROCE hold as the balance sheet scales, and are DISCOM receivables staying in control. Not marked revisit_after_30d (conviction below Medium-High).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Susan Electricals India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2026-10-05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A genuine grid-capex growth story at an early, high-risk stage -- label allowed only on the small-cap live-inflection carve-out; conviction Low-Medium, unconfirmed</w:t>
      </w:r>
    </w:p>
    <w:p/>
    <w:p>
      <w:r>
        <w:rPr>
          <w:b/>
        </w:rPr>
        <w:t>📈 Bull Case:</w:t>
      </w:r>
    </w:p>
    <w:p>
      <w:pPr>
        <w:ind w:left="360"/>
      </w:pPr>
      <w:r>
        <w:t>Direct exposure to a priority-1, accelerating theme -- grid / transmission equipment (conductors, cables) as India ramps distribution capex</w:t>
      </w:r>
    </w:p>
    <w:p>
      <w:pPr>
        <w:ind w:left="360"/>
      </w:pPr>
      <w:r>
        <w:t>Explosive recent growth (Q1 FY27 revenue +254% YoY) with a ~60% capacity expansion underway</w:t>
      </w:r>
    </w:p>
    <w:p>
      <w:pPr>
        <w:ind w:left="360"/>
      </w:pPr>
      <w:r>
        <w:t>High headline ROCE/ROE and currently low leverage</w:t>
      </w:r>
    </w:p>
    <w:p>
      <w:pPr>
        <w:ind w:left="360"/>
      </w:pPr>
      <w:r>
        <w:t>Undemanding-looking ~26x P/E relative to the growth rate</w:t>
      </w:r>
    </w:p>
    <w:p/>
    <w:p>
      <w:r>
        <w:rPr>
          <w:b/>
        </w:rPr>
        <w:t>📉 Bear Case:</w:t>
      </w:r>
    </w:p>
    <w:p>
      <w:pPr>
        <w:ind w:left="360"/>
      </w:pPr>
      <w:r>
        <w:t>Winding wire / conductors are a commodity -- realisation is metal price plus a thin conversion margin, no moat</w:t>
      </w:r>
    </w:p>
    <w:p>
      <w:pPr>
        <w:ind w:left="360"/>
      </w:pPr>
      <w:r>
        <w:t>ROE 50-64% is a small-post-IPO-equity-base artefact and will compress materially as the company scales</w:t>
      </w:r>
    </w:p>
    <w:p>
      <w:pPr>
        <w:ind w:left="360"/>
      </w:pPr>
      <w:r>
        <w:t>DISCOM / EPC customer base carries structural receivables and payment-cycle risk</w:t>
      </w:r>
    </w:p>
    <w:p>
      <w:pPr>
        <w:ind w:left="360"/>
      </w:pPr>
      <w:r>
        <w:t>Very short listed history; growth is off a tiny base and may not annualise</w:t>
      </w:r>
    </w:p>
    <w:p>
      <w:pPr>
        <w:ind w:left="360"/>
      </w:pPr>
      <w:r>
        <w:t>Capex + working capital will require external funding, diluting the clean balance sheet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2026-09-09T18:39:10.290Z</dcterms:created>
  <dcterms:modified xsi:type="dcterms:W3CDTF">2026-09-09T18:39:10.291Z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