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Unihealth Hospitals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High-growth Africa hospital platform (Uganda crown jewel) now expanding into India — real operating momentum, but P/E ~50, SME liquidity and a minority-owned India vehicle cap conviction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Unihealth Hospitals (formerly Unihealth Medical Consultancy; NSE SME: UNIHEALTH) operates hospitals and medical centres primarily in Uganda (its mature, cash-generative core), plus consultancy services, pharma exports/distribution, and now an India expansion (Navi Mumbai and Nashik hospitals) run through UMC Hospitals Pvt Ltd. Exited Nigeria in FY25. Active ValuePickr thread (55 posts) read to July 2026.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1,284 Cr (NSE SME)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~21.5% / ~24.5%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revenue ~Rs 1.32bn, +33% YoY; multi-year ~135% headline growth, ~38.6% 5-yr PAT CAGR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~12%; Ugandan unit now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 / working capital</w:t>
            </w:r>
          </w:p>
        </w:tc>
        <w:tc>
          <w:tcPr>
            <w:tcW w:type="dxa" w:w="5800"/>
          </w:tcPr>
          <w:p>
            <w:r>
              <w:t xml:space="preserve">P/E ~50, P/B high; debtor days ~341 (structural, African govt payment cycles)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134 - Rs 820 (roughly a 6x band)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Growth and returns are genuinely strong (ROCE ~24.5%, FY26 revenue +33%, Uganda growing ~25% and now debt-free) and management guides to 350-400 operational beds by FY26 and ~1,000 beds within two years. Against that: the stock has already run roughly 6x in a year to a ~50x P/E; ~341 debtor days is a real working-capital drag; the India growth vehicle (UMC Hospitals Pvt Ltd) is only ~80-82% owned by the listed company with the remainder held by non-promoters including promoters personally; and a July 2026 share-swap took Victoria Hospital (Uganda) to ~99.81% owned, adding ~Rs 25.5 Cr EBITDA / ~Rs 21.75 Cr PAT.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720 · 176x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P/E ~176 (standalone basis) prices a very steep hospital-network ramp; needs multi-year 40%+ earnings CAGR as new hospitals (India + East Africa) mature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consolidated revenue growth on new-hospital additions and occupancy ramp; margins normalising toward mid-teens 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operating leverage as beds mature; single-project execution and geographic (Africa) risk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new_business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very high headline multiple on thin, mostly standalone financials; the network-expansion thesis is unproven at scale and consolidated disclosure this pass was limited.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12%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52-week range Rs 134-820; the stock has re-rated ~6x and had an 85%-in-7-sessions burst per news, i.e. extremely extended.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55 posts (first-time read), spanning Jan 2025 to July 2026. Sentiment is constructive but genuinely two-sided: strong H1 FY26 results ('classic operating leverage'), detailed bull models toward 1,000 beds, Uganda debt-free and tax-free — versus a stretched valuation, ~341 debtor days, and a governance debate over the 80%-owned India subsidiary. One participant (drkshetty1, non-trusted) disclosed exiting into the rally, citing valuation and 'too many businesses.'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Three 'elevated'-tier roster users are active and constructive (no conviction floor applies): pranavpallod12 (multiple posts, 4-6 loves) frames the company at an inflection — Uganda moat funding India optionality, thesis 'could be very big or flat' — and says H1 FY26 'surpassed all expectations'; Satishwe (8 loves) built a detailed guidance-based model; niraj (5 loves) logged the July 2026 Victoria Hospital consolidation. Counterweights from non-trusted users: Mayank_Jham's math implies only ~35% EBITDA growth to FY28E (valuation stretched) and Agni's flag that the minority-owned India vehicle is a structural governance concern. No formal high-conviction BUY call from a very-high-tier user.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2026-07-05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undefined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2025-12-02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undefined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July 2026 share-swap raised Unihealth's stake in Victoria Hospital (Uganda) to ~99.81% (from ~50%), accretive by ~Rs 25.5 Cr EBITDA / ~Rs 21.75 Cr PAT. India expansion via UMC Hospitals Pvt Ltd, ~80-82% owned by the listed entity. Not independently re-verified beyond forum-linked disclosures.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high growth (FY26 revenue +33%) with strong returns (ROCE ~24.5%) and a mature, now debt-free, tax-advantaged Uganda core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Specific, named expansion pipeline: 350-400 beds by FY26, ~1,000 beds within two years, plus Tanzania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Victoria Hospital consolidation (July 2026) is immediately EBITDA/PAT accretive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Three 'elevated'-tier roster users actively engaged and constructive on the operating trajectory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already ~6x in a year to a ~50x P/E — a lot of good news is priced in, and one community model implies only ~35% EBITDA growth to FY28E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NSE-SME listing: structurally thin liquidity for the market 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~341 debtor days is a real working-capital drag even if partly structural to African government payment cycles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 growth vehicle only ~80-82% owned by the listed company, with promoters holding a personal minority stake — a governance structure the community itself flags as a red flag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Single-country revenue concentration (Uganda) and hard-to-verify African operations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Smallcap / SME-platform (~Rs 1,284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no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1,000-bed expansion plan on debt-free Uganda-funded base is real, sizeable headroom (tailwind/tam=yes); ~50x P/E after a ~6x run (valuation=no).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operating momentum and a credible bed-expansion pipeline keep a 10x case alive, but valuation, SME liquidity and the India-vehicle structure hold conviction to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+33%, ROCE ~24.5%, a debt-free Uganda core funding India optionality, and an accretive Victoria consolidation support a 10x-in-2-3-years framing on execution of the 1,000-bed plan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is Low: a ~50x P/E after a ~6x run, NSE-SME liquidity, ~341 debtor days, and a minority-owned India subsidiary are unresolved risks — and the roster support, while genuine, is 'elevated' tier with no formal BUY call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Old 108-stock project rated this Tier B; re-derived under the open-screen thesis it stays a 10x candidate but explicitly valuation-gated and unconfirmed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Unihealth Hospitals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2.5</w:t>
      </w:r>
    </w:p>
    <w:p>
      <w:pPr>
        <w:ind w:left="360"/>
      </w:pPr>
      <w:r>
        <w:t xml:space="preserve">  • Research Date: 2026-09-26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Real operating momentum and a credible bed-expansion pipeline keep a 10x case alive, but valuation, SME liquidity and the India-vehicle structure hold conviction to Low</w:t>
      </w:r>
    </w:p>
    <w:p/>
    <w:p>
      <w:r>
        <w:rPr>
          <w:b/>
        </w:rPr>
        <w:t>📈 Bull Case:</w:t>
      </w:r>
    </w:p>
    <w:p>
      <w:pPr>
        <w:ind w:left="360"/>
      </w:pPr>
      <w:r>
        <w:t>Genuine high growth (FY26 revenue +33%) with strong returns (ROCE ~24.5%) and a mature, now debt-free, tax-advantaged Uganda core</w:t>
      </w:r>
    </w:p>
    <w:p>
      <w:pPr>
        <w:ind w:left="360"/>
      </w:pPr>
      <w:r>
        <w:t>Specific, named expansion pipeline: 350-400 beds by FY26, ~1,000 beds within two years, plus Tanzania</w:t>
      </w:r>
    </w:p>
    <w:p>
      <w:pPr>
        <w:ind w:left="360"/>
      </w:pPr>
      <w:r>
        <w:t>Victoria Hospital consolidation (July 2026) is immediately EBITDA/PAT accretive</w:t>
      </w:r>
    </w:p>
    <w:p>
      <w:pPr>
        <w:ind w:left="360"/>
      </w:pPr>
      <w:r>
        <w:t>Three 'elevated'-tier roster users actively engaged and constructive on the operating trajectory</w:t>
      </w:r>
    </w:p>
    <w:p/>
    <w:p>
      <w:r>
        <w:rPr>
          <w:b/>
        </w:rPr>
        <w:t>📉 Bear Case:</w:t>
      </w:r>
    </w:p>
    <w:p>
      <w:pPr>
        <w:ind w:left="360"/>
      </w:pPr>
      <w:r>
        <w:t>Stock already ~6x in a year to a ~50x P/E — a lot of good news is priced in, and one community model implies only ~35% EBITDA growth to FY28E</w:t>
      </w:r>
    </w:p>
    <w:p>
      <w:pPr>
        <w:ind w:left="360"/>
      </w:pPr>
      <w:r>
        <w:t>NSE-SME listing: structurally thin liquidity for the market cap</w:t>
      </w:r>
    </w:p>
    <w:p>
      <w:pPr>
        <w:ind w:left="360"/>
      </w:pPr>
      <w:r>
        <w:t>~341 debtor days is a real working-capital drag even if partly structural to African government payment cycles</w:t>
      </w:r>
    </w:p>
    <w:p>
      <w:pPr>
        <w:ind w:left="360"/>
      </w:pPr>
      <w:r>
        <w:t>India growth vehicle only ~80-82% owned by the listed company, with promoters holding a personal minority stake — a governance structure the community itself flags as a red flag</w:t>
      </w:r>
    </w:p>
    <w:p>
      <w:pPr>
        <w:ind w:left="360"/>
      </w:pPr>
      <w:r>
        <w:t>Single-country revenue concentration (Uganda) and hard-to-verify African operations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2026-09-09T18:15:33.740Z</dcterms:created>
  <dcterms:modified xsi:type="dcterms:W3CDTF">2026-09-09T18:15:33.740Z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