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Venus Remedies</w:t>
      </w:r>
    </w:p>
    <w:p>
      <w:pPr>
        <w:pBdr>
          <w:bottom w:val="single" w:color="CCCCCC" w:sz="6" w:space="8"/>
        </w:pBdr>
        <w:spacing w:after="200"/>
      </w:pPr>
      <w:r>
        <w:rPr>
          <w:i/>
          <w:iCs/>
          <w:color w:val="666666"/>
          <w:sz w:val="22"/>
          <w:szCs w:val="22"/>
        </w:rPr>
        <w:t xml:space="preserve">Turned-around, debt-free injectables/oncology exporter whose FY26 filings confirm the inflection is cash-backed (CFO &gt;= EBITDA two years running) - still only ~19x earnings, though ~Rs 23 Cr of FY26 margin was one-offs and promoter holding is only ~42%</w:t>
      </w:r>
    </w:p>
    <w:p>
      <w:pPr>
        <w:pStyle w:val="Heading1"/>
        <w:spacing w:after="120" w:before="280"/>
      </w:pPr>
      <w:r>
        <w:t xml:space="preserve">Business Overview</w:t>
      </w:r>
    </w:p>
    <w:p>
      <w:pPr>
        <w:spacing w:after="120"/>
      </w:pPr>
      <w:r>
        <w:t xml:space="preserve">Venus Remedies manufactures complex injectable formulations (critical care and oncology) for regulated and semi-regulated markets, with 1,100+ granted market authorizations. Historically debt-laden and defaulted around 2015 (a similar trajectory to Wockhardt), the company sold its Elores business to Cipla in 2020, used the proceeds to eliminate debt, and has since transformed into a debt-free, cash-generative business with an increasing Oncology mix alongside its legacy Carbapenem (antibiotics) franchise. It also has an early-stage NCE pipeline (VRP-034, VRP-048) with FDA QIDP (fast-track) status.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2,174 Cr (price ~Rs 1,627; P/E ~19x, P/B ~3.1x, EV/EBITDA ~9x)</w:t>
            </w:r>
          </w:p>
        </w:tc>
      </w:tr>
      <w:tr>
        <w:tc>
          <w:tcPr>
            <w:tcW w:type="dxa" w:w="3200"/>
            <w:shd w:fill="F2F2F2" w:val="clear"/>
          </w:tcPr>
          <w:p>
            <w:r>
              <w:rPr>
                <w:b/>
                <w:bCs/>
              </w:rPr>
              <w:t xml:space="preserve">ROCE / ROE</w:t>
            </w:r>
          </w:p>
        </w:tc>
        <w:tc>
          <w:tcPr>
            <w:tcW w:type="dxa" w:w="5800"/>
          </w:tcPr>
          <w:p>
            <w:r>
              <w:t xml:space="preserve">20.2% / 15.5% (FY26); 3yr ROE ~10.3%</w:t>
            </w:r>
          </w:p>
        </w:tc>
      </w:tr>
      <w:tr>
        <w:tc>
          <w:tcPr>
            <w:tcW w:type="dxa" w:w="3200"/>
            <w:shd w:fill="F2F2F2" w:val="clear"/>
          </w:tcPr>
          <w:p>
            <w:r>
              <w:rPr>
                <w:b/>
                <w:bCs/>
              </w:rPr>
              <w:t xml:space="preserve">Revenue</w:t>
            </w:r>
          </w:p>
        </w:tc>
        <w:tc>
          <w:tcPr>
            <w:tcW w:type="dxa" w:w="5800"/>
          </w:tcPr>
          <w:p>
            <w:r>
              <w:t xml:space="preserve">Rs 631 Cr (FY25) -&gt; Rs 769.6 Cr (FY26), +17.9% YoY (consol)</w:t>
            </w:r>
          </w:p>
        </w:tc>
      </w:tr>
      <w:tr>
        <w:tc>
          <w:tcPr>
            <w:tcW w:type="dxa" w:w="3200"/>
            <w:shd w:fill="F2F2F2" w:val="clear"/>
          </w:tcPr>
          <w:p>
            <w:r>
              <w:rPr>
                <w:b/>
                <w:bCs/>
              </w:rPr>
              <w:t xml:space="preserve">EBITDA / margin</w:t>
            </w:r>
          </w:p>
        </w:tc>
        <w:tc>
          <w:tcPr>
            <w:tcW w:type="dxa" w:w="5800"/>
          </w:tcPr>
          <w:p>
            <w:r>
              <w:t xml:space="preserve">Rs 159.9 Cr / 20.8% FY26 vs Rs 84.5 Cr / 12.9% FY25 (normalised ~17% ex one-offs)</w:t>
            </w:r>
          </w:p>
        </w:tc>
      </w:tr>
      <w:tr>
        <w:tc>
          <w:tcPr>
            <w:tcW w:type="dxa" w:w="3200"/>
            <w:shd w:fill="F2F2F2" w:val="clear"/>
          </w:tcPr>
          <w:p>
            <w:r>
              <w:rPr>
                <w:b/>
                <w:bCs/>
              </w:rPr>
              <w:t xml:space="preserve">PAT / EPS</w:t>
            </w:r>
          </w:p>
        </w:tc>
        <w:tc>
          <w:tcPr>
            <w:tcW w:type="dxa" w:w="5800"/>
          </w:tcPr>
          <w:p>
            <w:r>
              <w:t xml:space="preserve">Rs 102.8 Cr consol (+127% YoY) / EPS ~Rs 74 FY26</w:t>
            </w:r>
          </w:p>
        </w:tc>
      </w:tr>
      <w:tr>
        <w:tc>
          <w:tcPr>
            <w:tcW w:type="dxa" w:w="3200"/>
            <w:shd w:fill="F2F2F2" w:val="clear"/>
          </w:tcPr>
          <w:p>
            <w:r>
              <w:rPr>
                <w:b/>
                <w:bCs/>
              </w:rPr>
              <w:t xml:space="preserve">Cash flow quality</w:t>
            </w:r>
          </w:p>
        </w:tc>
        <w:tc>
          <w:tcPr>
            <w:tcW w:type="dxa" w:w="5800"/>
          </w:tcPr>
          <w:p>
            <w:r>
              <w:t xml:space="preserve">FY26 CFO ~Rs 151-155 Cr &gt;= EBITDA (2nd consecutive year); trade receivables down Rs 112 Cr -&gt; Rs 103 Cr</w:t>
            </w:r>
          </w:p>
        </w:tc>
      </w:tr>
      <w:tr>
        <w:tc>
          <w:tcPr>
            <w:tcW w:type="dxa" w:w="3200"/>
            <w:shd w:fill="F2F2F2" w:val="clear"/>
          </w:tcPr>
          <w:p>
            <w:r>
              <w:rPr>
                <w:b/>
                <w:bCs/>
              </w:rPr>
              <w:t xml:space="preserve">Balance sheet</w:t>
            </w:r>
          </w:p>
        </w:tc>
        <w:tc>
          <w:tcPr>
            <w:tcW w:type="dxa" w:w="5800"/>
          </w:tcPr>
          <w:p>
            <w:r>
              <w:t xml:space="preserve">Borrowings ~Rs 12 Cr (near-zero), cash+investments &gt;Rs 250 Cr, reserves ~Rs 676 Cr; 0% promoter pledge (confirmed FY26)</w:t>
            </w:r>
          </w:p>
        </w:tc>
      </w:tr>
      <w:tr>
        <w:tc>
          <w:tcPr>
            <w:tcW w:type="dxa" w:w="3200"/>
            <w:shd w:fill="F2F2F2" w:val="clear"/>
          </w:tcPr>
          <w:p>
            <w:r>
              <w:rPr>
                <w:b/>
                <w:bCs/>
              </w:rPr>
              <w:t xml:space="preserve">Shareholding</w:t>
            </w:r>
          </w:p>
        </w:tc>
        <w:tc>
          <w:tcPr>
            <w:tcW w:type="dxa" w:w="5800"/>
          </w:tcPr>
          <w:p>
            <w:r>
              <w:t xml:space="preserve">Promoters 41.76% (Jun 2026), public 54.44%, FIIs 2.92% (up from 1.34%)</w:t>
            </w:r>
          </w:p>
        </w:tc>
      </w:tr>
    </w:tbl>
    <w:p>
      <w:pPr>
        <w:spacing w:after="100"/>
      </w:pPr>
    </w:p>
    <w:p>
      <w:pPr>
        <w:spacing w:after="120"/>
      </w:pPr>
      <w:r>
        <w:t xml:space="preserve">FY26 filings substantially de-risk the prior 'needs to prove out' caveat. Consolidated revenue Rs 769.6 Cr (+17.9%), EBITDA Rs 159.9 Cr at a 20.8% margin (vs 12.9% FY25), consolidated PAT Rs 102.8 Cr (+127%). Q4 FY26 was a record (sales Rs 259.4 Cr, 24.45% OPM, +960bps YoY); the latest quarter normalised back to ~Rs 179 Cr revenue / ~20% OPM / ~Rs 26 Cr PAT - still well ahead of the year-ago quarter. Crucially the earnings are cash-backed: FY26 operating cash flow of ~Rs 151-155 Cr matched or exceeded EBITDA for the second year running, and trade receivables actually fell (Rs 112 Cr -&gt; Rs 103 Cr) despite the revenue growth - evidence the reported profit is real. The balance sheet is now effectively debt-free (borrowings ~Rs 12 Cr) with &gt;Rs 250 Cr cash/investments and zero promoter pledge (SEBI-confirmed for FY26); first dividend in 13 years paid (Rs 10 final, approved at the 37th AGM on 20-Aug-2026). Two tempering points: (1) ~Rs 23 Cr of FY26 operating profit was one-offs - an Rs 11 Cr Cipla/Elores milestone and ~Rs 11.8 Cr PLI incentive - so normalised OPM is ~17%, not 20.8%; (2) management previously set (and missed) a Rs 1,000 Cr FY25 revenue target, so the market applies a discount to any new guidance. Capex is internal/organic, focused on lyophilisation where capacity currently meets only about half of demand. R&amp;D held at ~2.4% of sales; VRP-034 (AMR, FDA QIDP) and in-licensed MET-X remain zero-ascribed optionality. Exports &gt;Rs 590 Cr in FY26 (LatAm 24.2%, Europe 22.6%).</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2026-08-29.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consolidated results + FY23-FY26 P&amp;L / balance sheet / cash flow via screener.in; FY26 results approved 26-May-2026</w:t>
      </w:r>
    </w:p>
    <w:p>
      <w:pPr>
        <w:pStyle w:val="ListParagraph"/>
        <w:numPr>
          <w:ilvl w:val="0"/>
          <w:numId w:val="1"/>
        </w:numPr>
        <w:spacing w:after="60"/>
      </w:pPr>
      <w:r>
        <w:t xml:space="preserve">Two independent FY26 analyst write-ups (91 Capital, Asymmetric Equities) for one-off breakdown, cash-flow-quality and capex/pipeline detail</w:t>
      </w:r>
    </w:p>
    <w:p>
      <w:pPr>
        <w:pStyle w:val="ListParagraph"/>
        <w:numPr>
          <w:ilvl w:val="0"/>
          <w:numId w:val="1"/>
        </w:numPr>
        <w:spacing w:after="60"/>
      </w:pPr>
      <w:r>
        <w:t xml:space="preserve">BSE/NSE filings Mar-Aug 2026: FY26 SAST/pledge disclosure, 37th AGM (20-Aug-2026), dividend, board appointments</w:t>
      </w:r>
    </w:p>
    <w:p>
      <w:pPr>
        <w:spacing w:after="120"/>
      </w:pPr>
      <w:r>
        <w:rPr>
          <w:b/>
          <w:bCs/>
          <w:sz w:val="20"/>
          <w:szCs w:val="20"/>
        </w:rPr>
        <w:t xml:space="preserve">Annual-report findings (3-year view):</w:t>
      </w:r>
    </w:p>
    <w:p>
      <w:pPr>
        <w:pStyle w:val="ListParagraph"/>
        <w:numPr>
          <w:ilvl w:val="0"/>
          <w:numId w:val="1"/>
        </w:numPr>
        <w:spacing w:after="60"/>
      </w:pPr>
      <w:r>
        <w:t xml:space="preserve">FY26 consol revenue Rs 769.6 Cr (+17.9%); EBITDA Rs 159.9 Cr at 20.8% margin (vs 12.9% FY25); consol PAT Rs 102.8 Cr (+127%), EPS ~Rs 74</w:t>
      </w:r>
    </w:p>
    <w:p>
      <w:pPr>
        <w:pStyle w:val="ListParagraph"/>
        <w:numPr>
          <w:ilvl w:val="0"/>
          <w:numId w:val="1"/>
        </w:numPr>
        <w:spacing w:after="60"/>
      </w:pPr>
      <w:r>
        <w:t xml:space="preserve">~Rs 23 Cr of FY26 operating profit was one-offs (Rs 11 Cr Cipla/Elores milestone + ~Rs 11.8 Cr PLI incentive); normalised OPM ~17% vs ~15% YoY - still a real underlying improvement</w:t>
      </w:r>
    </w:p>
    <w:p>
      <w:pPr>
        <w:pStyle w:val="ListParagraph"/>
        <w:numPr>
          <w:ilvl w:val="0"/>
          <w:numId w:val="1"/>
        </w:numPr>
        <w:spacing w:after="60"/>
      </w:pPr>
      <w:r>
        <w:t xml:space="preserve">Earnings cash-backed: FY26 CFO ~Rs 151-155 Cr &gt;= EBITDA for the second consecutive year; trade receivables fell Rs 112 Cr -&gt; Rs 103 Cr despite the growth</w:t>
      </w:r>
    </w:p>
    <w:p>
      <w:pPr>
        <w:pStyle w:val="ListParagraph"/>
        <w:numPr>
          <w:ilvl w:val="0"/>
          <w:numId w:val="1"/>
        </w:numPr>
        <w:spacing w:after="60"/>
      </w:pPr>
      <w:r>
        <w:t xml:space="preserve">Balance sheet effectively debt-free (borrowings ~Rs 12 Cr), &gt;Rs 250 Cr cash/investments, reserves ~Rs 676 Cr; zero promoter pledge confirmed for FY26; first dividend in 13 years</w:t>
      </w:r>
    </w:p>
    <w:p>
      <w:pPr>
        <w:pStyle w:val="ListParagraph"/>
        <w:numPr>
          <w:ilvl w:val="0"/>
          <w:numId w:val="1"/>
        </w:numPr>
        <w:spacing w:after="60"/>
      </w:pPr>
      <w:r>
        <w:t xml:space="preserve">Promoter holding 41.76% (Jun 2026); FIIs up to 2.92% from 1.34%; public ~54%</w:t>
      </w:r>
    </w:p>
    <w:p>
      <w:pPr>
        <w:pStyle w:val="ListParagraph"/>
        <w:numPr>
          <w:ilvl w:val="0"/>
          <w:numId w:val="1"/>
        </w:numPr>
        <w:spacing w:after="60"/>
      </w:pPr>
      <w:r>
        <w:t xml:space="preserve">Capex organic/internal, focused on lyophilisation (current capacity ~half of demand); R&amp;D held ~2.4% of sales; VRP-034 / MET-X carried at zero value</w:t>
      </w:r>
    </w:p>
    <w:p>
      <w:pPr>
        <w:pStyle w:val="ListParagraph"/>
        <w:numPr>
          <w:ilvl w:val="0"/>
          <w:numId w:val="1"/>
        </w:numPr>
        <w:spacing w:after="60"/>
      </w:pPr>
      <w:r>
        <w:t xml:space="preserve">Exports &gt;Rs 590 Cr FY26 - LatAm 24.2%, Europe 22.6%</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Q4 FY26 record: sales Rs 259.4 Cr, OPM 24.45% (+960bps YoY), PAT Rs 43 Cr</w:t>
      </w:r>
    </w:p>
    <w:p>
      <w:pPr>
        <w:pStyle w:val="ListParagraph"/>
        <w:numPr>
          <w:ilvl w:val="0"/>
          <w:numId w:val="1"/>
        </w:numPr>
        <w:spacing w:after="60"/>
      </w:pPr>
      <w:r>
        <w:t xml:space="preserve">Latest quarter normalised to ~Rs 179 Cr sales / ~20% OPM / ~Rs 26 Cr PAT - down from the Q4 spike but well ahead of the ~Rs 137 Cr / Rs 12 Cr year-ago quarter</w:t>
      </w:r>
    </w:p>
    <w:p>
      <w:pPr>
        <w:pStyle w:val="ListParagraph"/>
        <w:numPr>
          <w:ilvl w:val="0"/>
          <w:numId w:val="1"/>
        </w:numPr>
        <w:spacing w:after="60"/>
      </w:pPr>
      <w:r>
        <w:t xml:space="preserve">Full-year margin trajectory FY23-FY26: ~11-12% -&gt; 20.8% (headline), driven by mix shift to oncology + operating leverage + one-offs</w:t>
      </w:r>
    </w:p>
    <w:p>
      <w:pPr>
        <w:pStyle w:val="ListParagraph"/>
        <w:numPr>
          <w:ilvl w:val="0"/>
          <w:numId w:val="1"/>
        </w:numPr>
        <w:spacing w:after="60"/>
      </w:pPr>
      <w:r>
        <w:t xml:space="preserve">No management concall; commentary only via results filings and press</w:t>
      </w:r>
    </w:p>
    <w:p>
      <w:pPr>
        <w:spacing w:after="120"/>
      </w:pPr>
      <w:r>
        <w:rPr>
          <w:b/>
          <w:bCs/>
          <w:sz w:val="20"/>
          <w:szCs w:val="20"/>
        </w:rPr>
        <w:t xml:space="preserve">Exchange announcements (last 6 months):</w:t>
      </w:r>
    </w:p>
    <w:p>
      <w:pPr>
        <w:pStyle w:val="ListParagraph"/>
        <w:numPr>
          <w:ilvl w:val="0"/>
          <w:numId w:val="1"/>
        </w:numPr>
        <w:spacing w:after="60"/>
      </w:pPr>
      <w:r>
        <w:t xml:space="preserve">26-May-2026: FY26 results approved; dividend recommended</w:t>
      </w:r>
    </w:p>
    <w:p>
      <w:pPr>
        <w:pStyle w:val="ListParagraph"/>
        <w:numPr>
          <w:ilvl w:val="0"/>
          <w:numId w:val="1"/>
        </w:numPr>
        <w:spacing w:after="60"/>
      </w:pPr>
      <w:r>
        <w:t xml:space="preserve">FY26 SEBI/SAST disclosure - promoters confirm zero pledged shares as of 31-Mar-2026</w:t>
      </w:r>
    </w:p>
    <w:p>
      <w:pPr>
        <w:pStyle w:val="ListParagraph"/>
        <w:numPr>
          <w:ilvl w:val="0"/>
          <w:numId w:val="1"/>
        </w:numPr>
        <w:spacing w:after="60"/>
      </w:pPr>
      <w:r>
        <w:t xml:space="preserve">20-Aug-2026: 37th AGM - Rs 10 final dividend approved; Saransh Chaudhary (promoter group) and Gurminder Bedi (independent) appointed to the board</w:t>
      </w:r>
    </w:p>
    <w:p>
      <w:pPr>
        <w:pStyle w:val="ListParagraph"/>
        <w:numPr>
          <w:ilvl w:val="0"/>
          <w:numId w:val="1"/>
        </w:numPr>
        <w:spacing w:after="60"/>
      </w:pPr>
      <w:r>
        <w:t xml:space="preserve">No fund-raise, rating action or litigation of note surfaced in the last 6 months</w:t>
      </w:r>
    </w:p>
    <w:p>
      <w:pPr>
        <w:spacing w:after="120"/>
      </w:pPr>
      <w:r>
        <w:rPr>
          <w:b/>
          <w:bCs/>
          <w:sz w:val="20"/>
          <w:szCs w:val="20"/>
        </w:rPr>
        <w:t xml:space="preserve">Key new facts vs. the prior write-up:</w:t>
      </w:r>
    </w:p>
    <w:p>
      <w:pPr>
        <w:pStyle w:val="ListParagraph"/>
        <w:numPr>
          <w:ilvl w:val="0"/>
          <w:numId w:val="1"/>
        </w:numPr>
        <w:spacing w:after="60"/>
      </w:pPr>
      <w:r>
        <w:t xml:space="preserve">FY26 one-off quantum now known: ~Rs 23 Cr (Rs 11 Cr Cipla milestone + ~Rs 11.8 Cr PLI); normalised OPM ~17%</w:t>
      </w:r>
    </w:p>
    <w:p>
      <w:pPr>
        <w:pStyle w:val="ListParagraph"/>
        <w:numPr>
          <w:ilvl w:val="0"/>
          <w:numId w:val="1"/>
        </w:numPr>
        <w:spacing w:after="60"/>
      </w:pPr>
      <w:r>
        <w:t xml:space="preserve">Cash-flow quality confirmed: CFO &gt;= EBITDA for a second straight year, receivables down - strengthens the 'profits are real' case beyond what the prior note had</w:t>
      </w:r>
    </w:p>
    <w:p>
      <w:pPr>
        <w:pStyle w:val="ListParagraph"/>
        <w:numPr>
          <w:ilvl w:val="0"/>
          <w:numId w:val="1"/>
        </w:numPr>
        <w:spacing w:after="60"/>
      </w:pPr>
      <w:r>
        <w:t xml:space="preserve">Promoter holding is only ~41.76% (prior write-up did not note this); zero pledge now formally SEBI-confirmed for FY26</w:t>
      </w:r>
    </w:p>
    <w:p>
      <w:pPr>
        <w:pStyle w:val="ListParagraph"/>
        <w:numPr>
          <w:ilvl w:val="0"/>
          <w:numId w:val="1"/>
        </w:numPr>
        <w:spacing w:after="60"/>
      </w:pPr>
      <w:r>
        <w:t xml:space="preserve">Management's missed Rs 1,000 Cr FY25 revenue target explicitly weighs on the credibility of any new guidance</w:t>
      </w:r>
    </w:p>
    <w:p>
      <w:pPr>
        <w:pStyle w:val="ListParagraph"/>
        <w:numPr>
          <w:ilvl w:val="0"/>
          <w:numId w:val="1"/>
        </w:numPr>
        <w:spacing w:after="60"/>
      </w:pPr>
      <w:r>
        <w:t xml:space="preserve">Concrete organic growth lever identified: lyophilisation capacity currently serves only ~half of observed demand</w:t>
      </w:r>
    </w:p>
    <w:p>
      <w:pPr>
        <w:pStyle w:val="ListParagraph"/>
        <w:numPr>
          <w:ilvl w:val="0"/>
          <w:numId w:val="1"/>
        </w:numPr>
        <w:spacing w:after="60"/>
      </w:pPr>
      <w:r>
        <w:t xml:space="preserve">Valuation still undemanding - ~19x P/E / ~9x EV/EBITDA; the 2.5x move came from earnings, not multiple expansion</w:t>
      </w:r>
    </w:p>
    <w:p>
      <w:pPr>
        <w:spacing w:after="120"/>
      </w:pPr>
      <w:r>
        <w:rPr>
          <w:b/>
          <w:bCs/>
          <w:sz w:val="20"/>
          <w:szCs w:val="20"/>
        </w:rPr>
        <w:t xml:space="preserve">Open questions / what to watch:</w:t>
      </w:r>
    </w:p>
    <w:p>
      <w:pPr>
        <w:pStyle w:val="ListParagraph"/>
        <w:numPr>
          <w:ilvl w:val="0"/>
          <w:numId w:val="1"/>
        </w:numPr>
        <w:spacing w:after="60"/>
      </w:pPr>
      <w:r>
        <w:t xml:space="preserve">What is the clean FY27 run-rate margin once the ~Rs 23 Cr of FY26 one-offs drop out - does it hold ~17% or drift higher on mix?</w:t>
      </w:r>
    </w:p>
    <w:p>
      <w:pPr>
        <w:pStyle w:val="ListParagraph"/>
        <w:numPr>
          <w:ilvl w:val="0"/>
          <w:numId w:val="1"/>
        </w:numPr>
        <w:spacing w:after="60"/>
      </w:pPr>
      <w:r>
        <w:t xml:space="preserve">Does management give (and this time meet) an explicit FY27/FY28 revenue target?</w:t>
      </w:r>
    </w:p>
    <w:p>
      <w:pPr>
        <w:pStyle w:val="ListParagraph"/>
        <w:numPr>
          <w:ilvl w:val="0"/>
          <w:numId w:val="1"/>
        </w:numPr>
        <w:spacing w:after="60"/>
      </w:pPr>
      <w:r>
        <w:t xml:space="preserve">Timeline and cost of the lyophilisation capacity expansion, and how quickly the extra demand converts</w:t>
      </w:r>
    </w:p>
    <w:p>
      <w:pPr>
        <w:pStyle w:val="ListParagraph"/>
        <w:numPr>
          <w:ilvl w:val="0"/>
          <w:numId w:val="1"/>
        </w:numPr>
        <w:spacing w:after="60"/>
      </w:pPr>
      <w:r>
        <w:t xml:space="preserve">Any movement on VRP-034 / MET-X clinical milestones or partnering</w:t>
      </w:r>
    </w:p>
    <w:p>
      <w:pPr>
        <w:pStyle w:val="ListParagraph"/>
        <w:numPr>
          <w:ilvl w:val="0"/>
          <w:numId w:val="1"/>
        </w:numPr>
        <w:spacing w:after="60"/>
      </w:pPr>
      <w:r>
        <w:t xml:space="preserve">Will the board ever start holding concalls / issuing presentations given the size the company has reached?</w:t>
      </w:r>
    </w:p>
    <w:p>
      <w:pPr>
        <w:spacing w:after="120" w:before="120"/>
      </w:pPr>
      <w:r>
        <w:rPr>
          <w:b/>
          <w:bCs/>
          <w:sz w:val="20"/>
          <w:szCs w:val="20"/>
        </w:rPr>
        <w:t xml:space="preserve">Conviction impact: </w:t>
      </w:r>
      <w:r>
        <w:rPr>
          <w:sz w:val="20"/>
          <w:szCs w:val="20"/>
        </w:rPr>
        <w:t xml:space="preserve">High -&gt; High (confirmed). FY26 filings de-risk the prior 'needs to prove out' caveat - the inflection is cash-backed (CFO &gt;= EBITDA two years running, receivables down), the balance sheet is genuinely debt-free with zero pledge, and the stock is still only ~19x earnings with the peer-valuation gap open. The ~Rs 23 Cr of one-offs and the guidance-credibility discount are real but not downgrade-worthy given how much else firmed up.</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Oncology-mix-driven OPM step-up sustained ex one-offs</w:t>
            </w:r>
          </w:p>
        </w:tc>
        <w:tc>
          <w:tcPr>
            <w:tcW w:type="dxa" w:w="2400"/>
          </w:tcPr>
          <w:p>
            <w:r>
              <w:rPr>
                <w:b w:val="false"/>
                <w:bCs w:val="false"/>
                <w:sz w:val="18"/>
                <w:szCs w:val="18"/>
              </w:rPr>
              <w:t xml:space="preserve">Q1 FY27 EBITDA margin 19.1% vs 7.66% YoY; normalised FY26 OPM ~17% vs ~12% FY23</w:t>
            </w:r>
          </w:p>
        </w:tc>
        <w:tc>
          <w:tcPr>
            <w:tcW w:type="dxa" w:w="900"/>
          </w:tcPr>
          <w:p>
            <w:r>
              <w:rPr>
                <w:b w:val="false"/>
                <w:bCs w:val="false"/>
                <w:sz w:val="18"/>
                <w:szCs w:val="18"/>
              </w:rPr>
              <w:t xml:space="preserve">FY27</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Expand lyophilisation capacity; evaluating greenfield</w:t>
            </w:r>
          </w:p>
        </w:tc>
        <w:tc>
          <w:tcPr>
            <w:tcW w:type="dxa" w:w="2400"/>
          </w:tcPr>
          <w:p>
            <w:r>
              <w:rPr>
                <w:b w:val="false"/>
                <w:bCs w:val="false"/>
                <w:sz w:val="18"/>
                <w:szCs w:val="18"/>
              </w:rPr>
              <w:t xml:space="preserve">current lyo capacity meets only ~half of seen demand; &gt;Rs 250 Cr cash, organic funding</w:t>
            </w:r>
          </w:p>
        </w:tc>
        <w:tc>
          <w:tcPr>
            <w:tcW w:type="dxa" w:w="900"/>
          </w:tcPr>
          <w:p>
            <w:r>
              <w:rPr>
                <w:b w:val="false"/>
                <w:bCs w:val="false"/>
                <w:sz w:val="18"/>
                <w:szCs w:val="18"/>
              </w:rPr>
              <w:t xml:space="preserve">FY28</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VRP-034 (Polymyxin B, Renal Guard) US development</w:t>
            </w:r>
          </w:p>
        </w:tc>
        <w:tc>
          <w:tcPr>
            <w:tcW w:type="dxa" w:w="2400"/>
          </w:tcPr>
          <w:p>
            <w:r>
              <w:rPr>
                <w:b w:val="false"/>
                <w:bCs w:val="false"/>
                <w:sz w:val="18"/>
                <w:szCs w:val="18"/>
              </w:rPr>
              <w:t xml:space="preserve">US FDA QIDP designation Apr 2025 (priority review, fast track, +5yr exclusivity on approval); pre-Phase 3</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oncology / critical-care mix shift</w:t>
      </w:r>
      <w:r>
        <w:rPr>
          <w:color w:val="666666"/>
          <w:sz w:val="20"/>
          <w:szCs w:val="20"/>
        </w:rPr>
        <w:t xml:space="preserve"> → </w:t>
      </w:r>
      <w:r>
        <w:rPr>
          <w:b w:val="false"/>
          <w:bCs w:val="false"/>
          <w:sz w:val="20"/>
          <w:szCs w:val="20"/>
        </w:rPr>
        <w:t xml:space="preserve">higher realisation + gross margin</w:t>
      </w:r>
      <w:r>
        <w:rPr>
          <w:color w:val="666666"/>
          <w:sz w:val="20"/>
          <w:szCs w:val="20"/>
        </w:rPr>
        <w:t xml:space="preserve"> → </w:t>
      </w:r>
      <w:r>
        <w:rPr>
          <w:b w:val="false"/>
          <w:bCs w:val="false"/>
          <w:sz w:val="20"/>
          <w:szCs w:val="20"/>
        </w:rPr>
        <w:t xml:space="preserve">operating leverage on debt-free base</w:t>
      </w:r>
      <w:r>
        <w:rPr>
          <w:color w:val="666666"/>
          <w:sz w:val="20"/>
          <w:szCs w:val="20"/>
        </w:rPr>
        <w:t xml:space="preserve"> → </w:t>
      </w:r>
      <w:r>
        <w:rPr>
          <w:b w:val="false"/>
          <w:bCs w:val="false"/>
          <w:sz w:val="20"/>
          <w:szCs w:val="20"/>
        </w:rPr>
        <w:t xml:space="preserve">EBITDA margin ~17-20%</w:t>
      </w:r>
      <w:r>
        <w:rPr>
          <w:color w:val="666666"/>
          <w:sz w:val="20"/>
          <w:szCs w:val="20"/>
        </w:rPr>
        <w:t xml:space="preserve"> → </w:t>
      </w:r>
      <w:r>
        <w:rPr>
          <w:b w:val="false"/>
          <w:bCs w:val="false"/>
          <w:sz w:val="20"/>
          <w:szCs w:val="20"/>
        </w:rPr>
        <w:t xml:space="preserve">PAT / FCF (CFO &gt;= EBITDA)</w:t>
      </w:r>
    </w:p>
    <w:p>
      <w:pPr>
        <w:spacing w:after="120"/>
      </w:pPr>
      <w:r>
        <w:rPr>
          <w:color w:val="666666"/>
          <w:sz w:val="18"/>
          <w:szCs w:val="18"/>
        </w:rPr>
        <w:t xml:space="preserve">Bottleneck link: lyophilisation capacity (meets ~half of demand).</w:t>
      </w:r>
    </w:p>
    <w:p>
      <w:pPr>
        <w:spacing w:after="120"/>
      </w:pPr>
      <w:r>
        <w:rPr>
          <w:color w:val="666666"/>
          <w:sz w:val="18"/>
          <w:szCs w:val="18"/>
        </w:rPr>
        <w:t xml:space="preserve">Operating leverage: yes - EBITDA margin expanded from ~12% (FY23) to ~17% normalised / ~19-20% headline on mix + scale, EBITDA growing faster than revenue</w:t>
      </w:r>
    </w:p>
    <w:p>
      <w:pPr>
        <w:spacing w:after="120"/>
      </w:pPr>
      <w:r>
        <w:rPr>
          <w:color w:val="666666"/>
          <w:sz w:val="18"/>
          <w:szCs w:val="18"/>
        </w:rPr>
        <w:t xml:space="preserve">Evidenced: oncology / critical-care mix shift; higher realisation + gross margin; EBITDA margin ~17-20%; PAT / FCF (CFO &gt;= EBITDA). Still assumed: operating leverage on debt-free base.</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2026-08-30</w:t>
            </w:r>
          </w:p>
        </w:tc>
      </w:tr>
      <w:tr>
        <w:tc>
          <w:tcPr>
            <w:tcW w:type="dxa" w:w="3200"/>
            <w:shd w:fill="F2F2F2" w:val="clear"/>
          </w:tcPr>
          <w:p>
            <w:r>
              <w:rPr>
                <w:b/>
                <w:bCs/>
              </w:rPr>
              <w:t xml:space="preserve">Price / multiple</w:t>
            </w:r>
          </w:p>
        </w:tc>
        <w:tc>
          <w:tcPr>
            <w:tcW w:type="dxa" w:w="5800"/>
          </w:tcPr>
          <w:p>
            <w:r>
              <w:t xml:space="preserve">Rs 1775 · 18x P/E · 10.5x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~18x trailing P/E on a debt-free ~20% ROCE specialty-injectables franchise implies only low-double-digit EPS CAGR FY26-FY28 priced in; a fair exit multiple for this quality is ~18-22x, so the market is pricing a turnaround/visibility discount rather than growth</w:t>
            </w:r>
          </w:p>
        </w:tc>
      </w:tr>
      <w:tr>
        <w:tc>
          <w:tcPr>
            <w:tcW w:type="dxa" w:w="3200"/>
            <w:shd w:fill="F2F2F2" w:val="clear"/>
          </w:tcPr>
          <w:p>
            <w:r>
              <w:rPr>
                <w:b/>
                <w:bCs/>
              </w:rPr>
              <w:t xml:space="preserve">Our FY27</w:t>
            </w:r>
          </w:p>
        </w:tc>
        <w:tc>
          <w:tcPr>
            <w:tcW w:type="dxa" w:w="5800"/>
          </w:tcPr>
          <w:p>
            <w:r>
              <w:t xml:space="preserve">Revenue ~Rs 900-950 Cr (+17-23%), EBITDA margin ~19-20%, PAT ~Rs 120-140 Cr</w:t>
            </w:r>
          </w:p>
        </w:tc>
      </w:tr>
      <w:tr>
        <w:tc>
          <w:tcPr>
            <w:tcW w:type="dxa" w:w="3200"/>
            <w:shd w:fill="F2F2F2" w:val="clear"/>
          </w:tcPr>
          <w:p>
            <w:r>
              <w:rPr>
                <w:b/>
                <w:bCs/>
              </w:rPr>
              <w:t xml:space="preserve">Our FY28</w:t>
            </w:r>
          </w:p>
        </w:tc>
        <w:tc>
          <w:tcPr>
            <w:tcW w:type="dxa" w:w="5800"/>
          </w:tcPr>
          <w:p>
            <w:r>
              <w:t xml:space="preserve">Second leg from lyophilisation capacity expansion + further oncology mix; revenue ~Rs 1,050-1,150 Cr at sustained ~20% OPM</w:t>
            </w:r>
          </w:p>
        </w:tc>
      </w:tr>
      <w:tr>
        <w:tc>
          <w:tcPr>
            <w:tcW w:type="dxa" w:w="3200"/>
            <w:shd w:fill="F2F2F2" w:val="clear"/>
          </w:tcPr>
          <w:p>
            <w:r>
              <w:rPr>
                <w:b/>
                <w:bCs/>
              </w:rPr>
              <w:t xml:space="preserve">Gap direction</w:t>
            </w:r>
          </w:p>
        </w:tc>
        <w:tc>
          <w:tcPr>
            <w:tcW w:type="dxa" w:w="5800"/>
          </w:tcPr>
          <w:p>
            <w:r>
              <w:t xml:space="preserve">underestimated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20% (our FY28 PAT vs implied)</w:t>
            </w:r>
          </w:p>
        </w:tc>
      </w:tr>
      <w:tr>
        <w:tc>
          <w:tcPr>
            <w:tcW w:type="dxa" w:w="3200"/>
            <w:shd w:fill="F2F2F2" w:val="clear"/>
          </w:tcPr>
          <w:p>
            <w:r>
              <w:rPr>
                <w:b/>
                <w:bCs/>
              </w:rPr>
              <w:t xml:space="preserve">Gap basis</w:t>
            </w:r>
          </w:p>
        </w:tc>
        <w:tc>
          <w:tcPr>
            <w:tcW w:type="dxa" w:w="5800"/>
          </w:tcPr>
          <w:p>
            <w:r>
              <w:t xml:space="preserve">cash-backed ~20% ROCE, debt-free, oncology-mix OPM step-up already in reported quarters (Q1 FY27 19.1%); ~18x P/E vs materially richer listed peers reflects a missed-FY25-guidance + no-concall discount, not fundamentals</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FY27 quarters confirming the ~19-20% OPM base holds ex one-offs + a lyophilisation capacity-expansion / greenfield announcement, driving re-rating toward peer multiples</w:t>
      </w:r>
      <w:r>
        <w:rPr>
          <w:color w:val="666666"/>
          <w:sz w:val="18"/>
          <w:szCs w:val="18"/>
        </w:rPr>
        <w:t xml:space="preserve"> (window ~12M from 2026-08-30;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20.2% (improving)</w:t>
            </w:r>
          </w:p>
        </w:tc>
      </w:tr>
      <w:tr>
        <w:tc>
          <w:tcPr>
            <w:tcW w:type="dxa" w:w="3200"/>
            <w:shd w:fill="F2F2F2" w:val="clear"/>
          </w:tcPr>
          <w:p>
            <w:r>
              <w:rPr>
                <w:b/>
                <w:bCs/>
              </w:rPr>
              <w:t xml:space="preserve">Leverage</w:t>
            </w:r>
          </w:p>
        </w:tc>
        <w:tc>
          <w:tcPr>
            <w:tcW w:type="dxa" w:w="5800"/>
          </w:tcPr>
          <w:p>
            <w:r>
              <w:t xml:space="preserve">Net debt/EBITDA -1.5x</w:t>
            </w:r>
          </w:p>
        </w:tc>
      </w:tr>
      <w:tr>
        <w:tc>
          <w:tcPr>
            <w:tcW w:type="dxa" w:w="3200"/>
            <w:shd w:fill="F2F2F2" w:val="clear"/>
          </w:tcPr>
          <w:p>
            <w:r>
              <w:rPr>
                <w:b/>
                <w:bCs/>
              </w:rPr>
              <w:t xml:space="preserve">FCF conversion</w:t>
            </w:r>
          </w:p>
        </w:tc>
        <w:tc>
          <w:tcPr>
            <w:tcW w:type="dxa" w:w="5800"/>
          </w:tcPr>
          <w:p>
            <w:r>
              <w:t xml:space="preserve">85%</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1 of the last 5 years (consistency_score 20)</w:t>
      </w:r>
    </w:p>
    <w:p>
      <w:pPr>
        <w:spacing w:after="120"/>
      </w:pPr>
      <w:r>
        <w:rPr>
          <w:color w:val="666666"/>
          <w:sz w:val="18"/>
          <w:szCs w:val="18"/>
        </w:rPr>
        <w:t xml:space="preserve">FY22-FY26 (screener consolidated): ROCE stuck at 8-11% through FY25, reaching 22% only in FY26 on the R&amp;D-licensing/margin inflection (OPM 10% -&gt; 19%); revenue grew &gt;=10% only in FY26 (+20%). 1 of 5 years cleared both -- the decade record is weak and FY26 is the first strong year, not yet a pattern.</w:t>
      </w:r>
    </w:p>
    <w:p>
      <w:pPr>
        <w:pStyle w:val="Heading1"/>
        <w:spacing w:after="120" w:before="280"/>
      </w:pPr>
      <w:r>
        <w:t xml:space="preserve">Technical Read (Weekly / Monthly MACD + Bollinger Bands, or RSI/CCI/Williams %R proxy)</w:t>
      </w:r>
    </w:p>
    <w:p>
      <w:pPr>
        <w:spacing w:after="120"/>
      </w:pPr>
      <w:r>
        <w:t xml:space="preserve">Not independently re-pulled this pass. Prior note flagged ASM Stage-4 classification and a bearish near-term technical after a sharp run-up; the stock's ~2.5x move has come from earnings doubling rather than multiple expansion (still ~19x P/E).</w:t>
      </w:r>
    </w:p>
    <w:p>
      <w:pPr>
        <w:pStyle w:val="Heading1"/>
        <w:spacing w:after="120" w:before="280"/>
      </w:pPr>
      <w:r>
        <w:t xml:space="preserve">ValuePickr Community Signal</w:t>
      </w:r>
    </w:p>
    <w:p>
      <w:pPr>
        <w:spacing w:after="120"/>
      </w:pPr>
      <w:r>
        <w:t xml:space="preserve">Read the full 28-post thread (single batch; the thread was largely dormant from 2015-2022 with only sporadic activity, and became substantively active only from June-August 2026). The current, live discussion (last ~7 posts, June-August 2026) is high-quality: real export data analysis, annual report deep-dives, and - most significantly - an extended original research post from phreakv6 (trusted-roster) making an explicit, disclosed investment.</w:t>
      </w:r>
    </w:p>
    <w:p>
      <w:pPr>
        <w:spacing w:after="120"/>
      </w:pPr>
      <w:r>
        <w:rPr>
          <w:b/>
          <w:bCs/>
          <w:sz w:val="20"/>
          <w:szCs w:val="20"/>
        </w:rPr>
        <w:t xml:space="preserve">High-conviction call from a top contributor: </w:t>
      </w:r>
      <w:r>
        <w:rPr>
          <w:sz w:val="20"/>
          <w:szCs w:val="20"/>
        </w:rPr>
        <w:t xml:space="preserve">phreakv6 (trusted-roster) posted an extensive, deeply-researched original analysis (cross-posted into this thread by Prdnt_investor from his own journal thread, dated 2026-08-15), explicitly disclosing 'I have small position in Venus Remedies bought this week around current levels.' manpritaurora followed up with corroborating export data confirming Venus is the largest Indian exporter of Meropenem ex-US, with export mix shifting from ~75% antibiotics (2022) to ~62% (2025) as Oncology grows. Prdnt_investor (Aug 2026) added a balancing risk note: FY27 growth 'needs to be proven, not a given', and flagged the binary/lottery-like economics of Venus's early-stage NCE pipeline (citing Wockhardt's own multi-decade struggle funding novel-drug development as a cautionary parallel), plus that the company does not hold concalls or send investor presentations - a real governance/communication gap for a company of this size.</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2026-09-01 — phreakv6</w:t>
      </w:r>
      <w:r>
        <w:rPr>
          <w:i/>
          <w:iCs/>
          <w:color w:val="666666"/>
          <w:sz w:val="18"/>
          <w:szCs w:val="18"/>
        </w:rPr>
        <w:t xml:space="preserve"> (Phreak's Thoughts, Ideas and Opinions)</w:t>
      </w:r>
      <w:r>
        <w:rPr>
          <w:sz w:val="20"/>
          <w:szCs w:val="20"/>
        </w:rPr>
        <w:br/>
        <w:t xml:space="preserve">: post #330 (love=83): defends the thesis against the post-AGM lull (mgmt guided 15% FY27 growth) - "a 15% growth might be actually like 30% real growth ... There's no point looking solely at growth when valuation is this cheap - so I am staying put ... I know I won't lose my capital here". Hold-with-conviction reaffirmation (not a fresh sizing statement; he has framed it as a small position previously). Core-tier + within 60 days -&gt; floor_active=true. Conviction already at cap (High), no further notch.</w:t>
      </w:r>
    </w:p>
    <w:p>
      <w:pPr>
        <w:spacing w:after="100"/>
      </w:pPr>
      <w:r>
        <w:rPr>
          <w:b/>
          <w:bCs/>
          <w:sz w:val="20"/>
          <w:szCs w:val="20"/>
        </w:rPr>
        <w:t xml:space="preserve">2026-08-22 — vikas_sinha</w:t>
      </w:r>
      <w:r>
        <w:rPr>
          <w:i/>
          <w:iCs/>
          <w:color w:val="666666"/>
          <w:sz w:val="18"/>
          <w:szCs w:val="18"/>
        </w:rPr>
        <w:t xml:space="preserve"> (The Anti-Portfolio)</w:t>
      </w:r>
      <w:r>
        <w:rPr>
          <w:sz w:val="20"/>
          <w:szCs w:val="20"/>
        </w:rPr>
        <w:br/>
        <w:t xml:space="preserve">: "Bought Venus remedies, it is bit like Wockhardt... Export focused pharma business should show steady growth" (post #824, 2026-08-17), repeated "My entry @1567... into good profits" (post #826, 2026-08-17) - very-high conviction, second independent trusted holder corroborating phreakv6's original thesis.</w:t>
      </w:r>
    </w:p>
    <w:p>
      <w:pPr>
        <w:spacing w:after="100"/>
      </w:pPr>
      <w:r>
        <w:rPr>
          <w:b/>
          <w:bCs/>
          <w:sz w:val="20"/>
          <w:szCs w:val="20"/>
        </w:rPr>
        <w:t xml:space="preserve">2026-08-15 — phreakv6</w:t>
      </w:r>
      <w:r>
        <w:rPr>
          <w:i/>
          <w:iCs/>
          <w:color w:val="666666"/>
          <w:sz w:val="18"/>
          <w:szCs w:val="18"/>
        </w:rPr>
        <w:t xml:space="preserve"> (Phreak's Thoughts, Ideas and Opinions (cross-posted into the Venus Remedies thread by Prdnt_investor))</w:t>
      </w:r>
      <w:r>
        <w:rPr>
          <w:sz w:val="20"/>
          <w:szCs w:val="20"/>
        </w:rPr>
        <w:br/>
        <w:t xml:space="preserve">: "I have small position in Venus Remedies bought this week around current levels." Deep original research: Venus generates the same ~Rs 811 Cr revenue as Orchid Pharma but with 4x the EBITDA (Rs 166 Cr vs Rs 41 Cr), yet trades at roughly Rs 2,000 Cr versus Orchid's ~Rs 10,000 Cr - also cited as 2-3x cheaper than peers Sakar, Beta Drugs and Sai Parenteral on similar oncology/anti-infective exposure. Thesis is a valuation re-rating as market perception catches up to the post-2020 turnaround, not a pure growth story.</w:t>
      </w:r>
    </w:p>
    <w:p>
      <w:pPr>
        <w:pStyle w:val="Heading1"/>
        <w:spacing w:after="120" w:before="280"/>
      </w:pPr>
      <w:r>
        <w:t xml:space="preserve">BSE Corporate Actions / Other Red Flags</w:t>
      </w:r>
    </w:p>
    <w:p>
      <w:pPr>
        <w:spacing w:after="120"/>
      </w:pPr>
      <w:r>
        <w:t xml:space="preserve">37th AGM held 20-Aug-2026: Rs 10 final dividend approved; directors Saransh Chaudhary (promoter group) and Gurminder Bedi (independent) appointed. FY26 results approved 26-May-2026. Promoters/promoter group confirmed zero pledged shares as of 31-Mar-2026 (SEBI filing). Board still does not conduct earnings concalls or publish investor presentations.</w:t>
      </w:r>
    </w:p>
    <w:p>
      <w:pPr>
        <w:pStyle w:val="Heading1"/>
        <w:spacing w:after="120" w:before="280"/>
      </w:pPr>
      <w:r>
        <w:t xml:space="preserve">Bull Case</w:t>
      </w:r>
    </w:p>
    <w:p>
      <w:pPr>
        <w:pStyle w:val="ListParagraph"/>
        <w:numPr>
          <w:ilvl w:val="0"/>
          <w:numId w:val="1"/>
        </w:numPr>
        <w:spacing w:after="60"/>
      </w:pPr>
      <w:r>
        <w:t xml:space="preserve">FY26 confirmed the inflection and it is cash-backed: CFO ~Rs 151-155 Cr matched/exceeded EBITDA for a second straight year, and receivables fell while revenue grew - the doubled profit is real, not accrual-led</w:t>
      </w:r>
    </w:p>
    <w:p>
      <w:pPr>
        <w:pStyle w:val="ListParagraph"/>
        <w:numPr>
          <w:ilvl w:val="0"/>
          <w:numId w:val="1"/>
        </w:numPr>
        <w:spacing w:after="60"/>
      </w:pPr>
      <w:r>
        <w:t xml:space="preserve">phreakv6 (trusted, core-tier) took a disclosed position on a peer-valuation-gap thesis; the gap is still open - Venus trades at ~19x P/E / ~9x EV/EBITDA vs materially richer listed peers on similar oncology/anti-infective profitability</w:t>
      </w:r>
    </w:p>
    <w:p>
      <w:pPr>
        <w:pStyle w:val="ListParagraph"/>
        <w:numPr>
          <w:ilvl w:val="0"/>
          <w:numId w:val="1"/>
        </w:numPr>
        <w:spacing w:after="60"/>
      </w:pPr>
      <w:r>
        <w:t xml:space="preserve">Genuine balance-sheet transformation complete: from ~Rs 335 Cr debt and a 2015 default to ~Rs 12 Cr borrowings, &gt;Rs 250 Cr cash/investments, zero pledge (FY26-confirmed), and a first dividend in 13 years</w:t>
      </w:r>
    </w:p>
    <w:p>
      <w:pPr>
        <w:pStyle w:val="ListParagraph"/>
        <w:numPr>
          <w:ilvl w:val="0"/>
          <w:numId w:val="1"/>
        </w:numPr>
        <w:spacing w:after="60"/>
      </w:pPr>
      <w:r>
        <w:t xml:space="preserve">Record Q4 FY26 (Rs 259 Cr sales, 24.45% OPM) plus a concrete organic growth lever - lyophilisation capacity currently meets only ~half of demand, expandable without debt or dilution</w:t>
      </w:r>
    </w:p>
    <w:p>
      <w:pPr>
        <w:pStyle w:val="ListParagraph"/>
        <w:numPr>
          <w:ilvl w:val="0"/>
          <w:numId w:val="1"/>
        </w:numPr>
        <w:spacing w:after="60"/>
      </w:pPr>
      <w:r>
        <w:t xml:space="preserve">Largest Indian exporter of Meropenem ex-US; oncology mix rising; VRP-034 / MET-X NCE pipeline as un-priced optionality</w:t>
      </w:r>
    </w:p>
    <w:p>
      <w:pPr>
        <w:pStyle w:val="Heading1"/>
        <w:spacing w:after="120" w:before="280"/>
      </w:pPr>
      <w:r>
        <w:t xml:space="preserve">Bear Case / Key Risks</w:t>
      </w:r>
    </w:p>
    <w:p>
      <w:pPr>
        <w:pStyle w:val="ListParagraph"/>
        <w:numPr>
          <w:ilvl w:val="0"/>
          <w:numId w:val="1"/>
        </w:numPr>
        <w:spacing w:after="60"/>
      </w:pPr>
      <w:r>
        <w:t xml:space="preserve">~Rs 23 Cr of FY26 operating profit was one-offs (Rs 11 Cr Cipla/Elores milestone + ~Rs 11.8 Cr PLI) - normalised OPM is ~17%, not the 20.8% headline, so FY27 margin expectations should be tempered</w:t>
      </w:r>
    </w:p>
    <w:p>
      <w:pPr>
        <w:pStyle w:val="ListParagraph"/>
        <w:numPr>
          <w:ilvl w:val="0"/>
          <w:numId w:val="1"/>
        </w:numPr>
        <w:spacing w:after="60"/>
      </w:pPr>
      <w:r>
        <w:t xml:space="preserve">Management set and missed a Rs 1,000 Cr FY25 revenue target - the market will discount any new FY27/FY28 guidance accordingly</w:t>
      </w:r>
    </w:p>
    <w:p>
      <w:pPr>
        <w:pStyle w:val="ListParagraph"/>
        <w:numPr>
          <w:ilvl w:val="0"/>
          <w:numId w:val="1"/>
        </w:numPr>
        <w:spacing w:after="60"/>
      </w:pPr>
      <w:r>
        <w:t xml:space="preserve">Promoter holding is only ~41.76% with public at ~54% - lower promoter skin-in-the-game than typical for a founder-run turnaround (no decline flagged, but a structural point)</w:t>
      </w:r>
    </w:p>
    <w:p>
      <w:pPr>
        <w:pStyle w:val="ListParagraph"/>
        <w:numPr>
          <w:ilvl w:val="0"/>
          <w:numId w:val="1"/>
        </w:numPr>
        <w:spacing w:after="60"/>
      </w:pPr>
      <w:r>
        <w:t xml:space="preserve">Company still does not hold concalls or issue investor presentations - a real communication/visibility gap for a Rs 2,000 Cr+ company</w:t>
      </w:r>
    </w:p>
    <w:p>
      <w:pPr>
        <w:pStyle w:val="ListParagraph"/>
        <w:numPr>
          <w:ilvl w:val="0"/>
          <w:numId w:val="1"/>
        </w:numPr>
        <w:spacing w:after="60"/>
      </w:pPr>
      <w:r>
        <w:t xml:space="preserve">Early-stage NCE pipeline (VRP-034, MET-X) is genuinely binary/lottery-like and should carry zero near-term value</w:t>
      </w:r>
    </w:p>
    <w:p>
      <w:pPr>
        <w:pStyle w:val="ListParagraph"/>
        <w:numPr>
          <w:ilvl w:val="0"/>
          <w:numId w:val="1"/>
        </w:numPr>
        <w:spacing w:after="60"/>
      </w:pPr>
      <w:r>
        <w:t xml:space="preserve">Technically flagged in ASM Stage 4 with a bearish near-term setup after a sharp run-up - entry-timing caution</w:t>
      </w:r>
    </w:p>
    <w:p>
      <w:pPr>
        <w:pStyle w:val="Heading1"/>
        <w:spacing w:after="120" w:before="280"/>
      </w:pPr>
      <w:r>
        <w:t xml:space="preserve">Market-Cap Tier (informational — not a gate in this project)</w:t>
      </w:r>
    </w:p>
    <w:p>
      <w:pPr>
        <w:spacing w:after="120"/>
      </w:pPr>
      <w:r>
        <w:rPr>
          <w:b/>
          <w:bCs/>
        </w:rPr>
        <w:t xml:space="preserve">Mid-cap (~Rs 2,174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weak · valuation: yes  (score 3 / 4)</w:t>
      </w:r>
    </w:p>
    <w:p>
      <w:pPr>
        <w:spacing w:after="120"/>
      </w:pPr>
      <w:r>
        <w:rPr>
          <w:i/>
          <w:iCs/>
          <w:color w:val="666666"/>
          <w:sz w:val="20"/>
          <w:szCs w:val="20"/>
        </w:rPr>
        <w:t xml:space="preserve">Lyophilisation capacity+NCE optionality tailwind; TAM/moat not quantified in record; valuation clearly underpriced (18x P/E vs peers, gap=underestimated)</w:t>
      </w:r>
    </w:p>
    <w:p>
      <w:pPr>
        <w:pStyle w:val="Heading1"/>
        <w:spacing w:after="120" w:before="280"/>
      </w:pPr>
      <w:r>
        <w:t xml:space="preserve">Verdict</w:t>
      </w:r>
    </w:p>
    <w:p>
      <w:pPr>
        <w:spacing w:after="120"/>
      </w:pPr>
      <w:r>
        <w:rPr>
          <w:b/>
          <w:bCs/>
          <w:sz w:val="24"/>
          <w:szCs w:val="24"/>
        </w:rPr>
        <w:t xml:space="preserve">FY26 filings confirm a cash-backed turnaround and the peer-valuation gap is still open at ~19x - conviction holds at High, with the one-off adjustment and guidance-credibility discount as the standing caveats</w:t>
      </w:r>
    </w:p>
    <w:p>
      <w:pPr>
        <w:pStyle w:val="ListParagraph"/>
        <w:numPr>
          <w:ilvl w:val="0"/>
          <w:numId w:val="1"/>
        </w:numPr>
        <w:spacing w:after="60"/>
      </w:pPr>
      <w:r>
        <w:t xml:space="preserve">The prior note's central uncertainty - 'FY27 needs to prove out, one-off risk' - is substantially de-risked: a record Q4, full-year revenue +18%, and two consecutive years of operating cash flow matching or exceeding EBITDA (with receivables falling) show the profit inflection is durable and real, not accounting-led</w:t>
      </w:r>
    </w:p>
    <w:p>
      <w:pPr>
        <w:pStyle w:val="ListParagraph"/>
        <w:numPr>
          <w:ilvl w:val="0"/>
          <w:numId w:val="1"/>
        </w:numPr>
        <w:spacing w:after="60"/>
      </w:pPr>
      <w:r>
        <w:t xml:space="preserve">The valuation-gap thesis phreakv6 (trusted, core-tier) and vikas_sinha bought is still intact - ~19x P/E / ~9x EV/EBITDA / ~3x book, and the 2.5x price move to date came from earnings doubling rather than any re-rating</w:t>
      </w:r>
    </w:p>
    <w:p>
      <w:pPr>
        <w:pStyle w:val="ListParagraph"/>
        <w:numPr>
          <w:ilvl w:val="0"/>
          <w:numId w:val="1"/>
        </w:numPr>
        <w:spacing w:after="60"/>
      </w:pPr>
      <w:r>
        <w:t xml:space="preserve">Caveats remain and are now quantified: ~Rs 23 Cr of FY26 margin was one-offs (normalised OPM ~17%), management has a missed-target credibility discount, promoter holding is only ~42%, and there are still no concalls</w:t>
      </w:r>
    </w:p>
    <w:p>
      <w:pPr>
        <w:pStyle w:val="ListParagraph"/>
        <w:numPr>
          <w:ilvl w:val="0"/>
          <w:numId w:val="1"/>
        </w:numPr>
        <w:spacing w:after="60"/>
      </w:pPr>
      <w:r>
        <w:t xml:space="preserve">Net: conviction High -&gt; High (confirmed). Thesis-fit stays 10x-in-2-3-years - the organic lyophilisation capacity lever plus un-priced NCE optionality, on a debt-free balance sheet at an undemanding multiple, keeps the asymmetric case alive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Venus Remedies</w:t>
      </w:r>
    </w:p>
    <w:p>
      <w:pPr>
        <w:ind w:left="360"/>
      </w:pPr>
      <w:r>
        <w:t xml:space="preserve">  • Conviction: Not rated</w:t>
      </w:r>
    </w:p>
    <w:p>
      <w:pPr>
        <w:ind w:left="360"/>
      </w:pPr>
      <w:r>
        <w:t xml:space="preserve">  • Thesis: 10x-in-2-3-years</w:t>
      </w:r>
    </w:p>
    <w:p>
      <w:pPr>
        <w:ind w:left="360"/>
      </w:pPr>
      <w:r>
        <w:t xml:space="preserve">  • 4-Box Score: 3.0</w:t>
      </w:r>
    </w:p>
    <w:p>
      <w:pPr>
        <w:ind w:left="360"/>
      </w:pPr>
      <w:r>
        <w:t xml:space="preserve">  • Research Date: 2026-09-28</w:t>
      </w:r>
    </w:p>
    <w:p>
      <w:pPr>
        <w:ind w:left="360"/>
      </w:pPr>
      <w:r>
        <w:t xml:space="preserve">  • Red Flag: None</w:t>
      </w:r>
    </w:p>
    <w:p/>
    <w:p>
      <w:r>
        <w:rPr>
          <w:b/>
        </w:rPr>
        <w:t>📝 Verdict:</w:t>
      </w:r>
    </w:p>
    <w:p>
      <w:pPr>
        <w:ind w:left="360"/>
      </w:pPr>
      <w:r>
        <w:t>FY26 filings confirm a cash-backed turnaround and the peer-valuation gap is still open at ~19x - conviction holds at High, with the one-off adjustment and guidance-credibility discount as the standing caveats</w:t>
      </w:r>
    </w:p>
    <w:p/>
    <w:p>
      <w:r>
        <w:rPr>
          <w:b/>
        </w:rPr>
        <w:t>📈 Bull Case:</w:t>
      </w:r>
    </w:p>
    <w:p>
      <w:pPr>
        <w:ind w:left="360"/>
      </w:pPr>
      <w:r>
        <w:t>FY26 confirmed the inflection and it is cash-backed: CFO ~Rs 151-155 Cr matched/exceeded EBITDA for a second straight year, and receivables fell while revenue grew - the doubled profit is real, not accrual-led</w:t>
      </w:r>
    </w:p>
    <w:p>
      <w:pPr>
        <w:ind w:left="360"/>
      </w:pPr>
      <w:r>
        <w:t>phreakv6 (trusted, core-tier) took a disclosed position on a peer-valuation-gap thesis; the gap is still open - Venus trades at ~19x P/E / ~9x EV/EBITDA vs materially richer listed peers on similar oncology/anti-infective profitability</w:t>
      </w:r>
    </w:p>
    <w:p>
      <w:pPr>
        <w:ind w:left="360"/>
      </w:pPr>
      <w:r>
        <w:t>Genuine balance-sheet transformation complete: from ~Rs 335 Cr debt and a 2015 default to ~Rs 12 Cr borrowings, &gt;Rs 250 Cr cash/investments, zero pledge (FY26-confirmed), and a first dividend in 13 years</w:t>
      </w:r>
    </w:p>
    <w:p>
      <w:pPr>
        <w:ind w:left="360"/>
      </w:pPr>
      <w:r>
        <w:t>Record Q4 FY26 (Rs 259 Cr sales, 24.45% OPM) plus a concrete organic growth lever - lyophilisation capacity currently meets only ~half of demand, expandable without debt or dilution</w:t>
      </w:r>
    </w:p>
    <w:p>
      <w:pPr>
        <w:ind w:left="360"/>
      </w:pPr>
      <w:r>
        <w:t>Largest Indian exporter of Meropenem ex-US; oncology mix rising; VRP-034 / MET-X NCE pipeline as un-priced optionality</w:t>
      </w:r>
    </w:p>
    <w:p/>
    <w:p>
      <w:r>
        <w:rPr>
          <w:b/>
        </w:rPr>
        <w:t>📉 Bear Case:</w:t>
      </w:r>
    </w:p>
    <w:p>
      <w:pPr>
        <w:ind w:left="360"/>
      </w:pPr>
      <w:r>
        <w:t>~Rs 23 Cr of FY26 operating profit was one-offs (Rs 11 Cr Cipla/Elores milestone + ~Rs 11.8 Cr PLI) - normalised OPM is ~17%, not the 20.8% headline, so FY27 margin expectations should be tempered</w:t>
      </w:r>
    </w:p>
    <w:p>
      <w:pPr>
        <w:ind w:left="360"/>
      </w:pPr>
      <w:r>
        <w:t>Management set and missed a Rs 1,000 Cr FY25 revenue target - the market will discount any new FY27/FY28 guidance accordingly</w:t>
      </w:r>
    </w:p>
    <w:p>
      <w:pPr>
        <w:ind w:left="360"/>
      </w:pPr>
      <w:r>
        <w:t>Promoter holding is only ~41.76% with public at ~54% - lower promoter skin-in-the-game than typical for a founder-run turnaround (no decline flagged, but a structural point)</w:t>
      </w:r>
    </w:p>
    <w:p>
      <w:pPr>
        <w:ind w:left="360"/>
      </w:pPr>
      <w:r>
        <w:t>Company still does not hold concalls or issue investor presentations - a real communication/visibility gap for a Rs 2,000 Cr+ company</w:t>
      </w:r>
    </w:p>
    <w:p>
      <w:pPr>
        <w:ind w:left="360"/>
      </w:pPr>
      <w:r>
        <w:t>Early-stage NCE pipeline (VRP-034, MET-X) is genuinely binary/lottery-like and should carry zero near-term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2026-09-09T18:05:05.572Z</dcterms:created>
  <dcterms:modified xsi:type="dcterms:W3CDTF">2026-09-09T18:05:05.573Z</dcterms:modified>
</cp:coreProperties>
</file>

<file path=docProps/custom.xml><?xml version="1.0" encoding="utf-8"?>
<Properties xmlns="http://schemas.openxmlformats.org/officeDocument/2006/custom-properties" xmlns:vt="http://schemas.openxmlformats.org/officeDocument/2006/docPropsVTypes"/>
</file>