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4"/>
          <w:szCs w:val="44"/>
        </w:rPr>
        <w:t xml:space="preserve">Microcap/Midcap 10x-in-2-3-Years Research: Final Ranking</w:t>
      </w:r>
    </w:p>
    <w:p>
      <w:pPr>
        <w:pBdr>
          <w:bottom w:val="single" w:color="CCCCCC" w:sz="6" w:space="8"/>
        </w:pBdr>
        <w:spacing w:after="200"/>
      </w:pPr>
      <w:r>
        <w:rPr>
          <w:i/>
          <w:iCs/>
          <w:color w:val="666666"/>
          <w:sz w:val="20"/>
          <w:szCs w:val="20"/>
        </w:rPr>
        <w:t xml:space="preserve">Compiled 14 August 2026 · 108 stocks researched from the source sheet</w:t>
      </w:r>
    </w:p>
    <w:p>
      <w:pPr>
        <w:shd w:fill="FFF4E5" w:val="clear"/>
        <w:spacing w:after="240"/>
      </w:pPr>
      <w:r>
        <w:rPr>
          <w:b/>
          <w:bCs/>
          <w:sz w:val="20"/>
          <w:szCs w:val="20"/>
        </w:rPr>
        <w:t xml:space="preserve">This is independent research and analysis for informational purposes only — it is NOT personalized financial or investment advice, and nothing here is a recommendation to buy, sell, or hold any security. Past multi-bagger performance, forum enthusiasm, and social-media conviction are not indicators of future returns. Market caps and financials were captured at research time (Aug 2026) and will have moved. Several names carry serious, independently-corroborated red flags (financial distress, active regulatory action) — these are flagged explicitly, not silently omitted. Always do your own due diligence, verify current data, and consult a licensed advisor before investing.</w:t>
      </w:r>
    </w:p>
    <w:p>
      <w:pPr>
        <w:pStyle w:val="Heading1"/>
        <w:spacing w:after="140" w:before="320"/>
      </w:pPr>
      <w:r>
        <w:rPr>
          <w:b/>
          <w:bCs/>
          <w:color w:val="1F4E5F"/>
          <w:sz w:val="30"/>
          <w:szCs w:val="30"/>
        </w:rPr>
        <w:t xml:space="preserve">Methodology</w:t>
      </w:r>
    </w:p>
    <w:p>
      <w:pPr>
        <w:spacing w:after="120"/>
      </w:pPr>
      <w:r>
        <w:t xml:space="preserve">Every stock was scored across the following dimensions, drawing on Screener.in fundamentals, ValuePickr/X sentiment, BSE corporate-action checks, and (where available) technical posture. Market-cap headroom was treated as a hard gate, not just one factor among many — a stock already at midcap-or-larger size cannot plausibly 10x within 2-3 years, so those names were moved to the exclusion list regardless of business quality.</w:t>
      </w:r>
    </w:p>
    <w:p>
      <w:pPr>
        <w:pStyle w:val="ListParagraph"/>
        <w:numPr>
          <w:ilvl w:val="0"/>
          <w:numId w:val="1"/>
        </w:numPr>
        <w:spacing w:after="60"/>
      </w:pPr>
      <w:r>
        <w:t xml:space="preserve">Fundamental momentum (revenue/PAT growth trajectory, margin trend, ROCE/ROE)</w:t>
      </w:r>
    </w:p>
    <w:p>
      <w:pPr>
        <w:pStyle w:val="ListParagraph"/>
        <w:numPr>
          <w:ilvl w:val="0"/>
          <w:numId w:val="1"/>
        </w:numPr>
        <w:spacing w:after="60"/>
      </w:pPr>
      <w:r>
        <w:t xml:space="preserve">Valuation runway (P/E, P/B vs history/sector; room to re-rate without heroic assumptions)</w:t>
      </w:r>
    </w:p>
    <w:p>
      <w:pPr>
        <w:pStyle w:val="ListParagraph"/>
        <w:numPr>
          <w:ilvl w:val="0"/>
          <w:numId w:val="1"/>
        </w:numPr>
        <w:spacing w:after="60"/>
      </w:pPr>
      <w:r>
        <w:t xml:space="preserve">Market-cap headroom (must be genuinely micro/small-cap today)</w:t>
      </w:r>
    </w:p>
    <w:p>
      <w:pPr>
        <w:pStyle w:val="ListParagraph"/>
        <w:numPr>
          <w:ilvl w:val="0"/>
          <w:numId w:val="1"/>
        </w:numPr>
        <w:spacing w:after="60"/>
      </w:pPr>
      <w:r>
        <w:t xml:space="preserve">Catalyst clarity (specific, verifiable near-term triggers vs vague optimism)</w:t>
      </w:r>
    </w:p>
    <w:p>
      <w:pPr>
        <w:pStyle w:val="ListParagraph"/>
        <w:numPr>
          <w:ilvl w:val="0"/>
          <w:numId w:val="1"/>
        </w:numPr>
        <w:spacing w:after="60"/>
      </w:pPr>
      <w:r>
        <w:t xml:space="preserve">Quality/governance screen (promoter holding trend, red flags, regulatory issues)</w:t>
      </w:r>
    </w:p>
    <w:p>
      <w:pPr>
        <w:pStyle w:val="ListParagraph"/>
        <w:numPr>
          <w:ilvl w:val="0"/>
          <w:numId w:val="1"/>
        </w:numPr>
        <w:spacing w:after="60"/>
      </w:pPr>
      <w:r>
        <w:t xml:space="preserve">Liquidity/float (SME-platform or thinly-traded names are flagged, not excluded outright)</w:t>
      </w:r>
    </w:p>
    <w:p>
      <w:pPr>
        <w:pStyle w:val="ListParagraph"/>
        <w:numPr>
          <w:ilvl w:val="0"/>
          <w:numId w:val="1"/>
        </w:numPr>
        <w:spacing w:after="60"/>
      </w:pPr>
      <w:r>
        <w:t xml:space="preserve">Conviction/sentiment signal (weighted lower than hard fundamentals — forum enthusiasm is not proof)</w:t>
      </w:r>
    </w:p>
    <w:p>
      <w:pPr>
        <w:spacing w:after="120"/>
      </w:pPr>
      <w:r>
        <w:t xml:space="preserve">Given the scale of this project (108 names from a compiled ValuePickr/X sheet, researched over one extended session using a token-efficient methodology of targeted web searches rather than exhaustive multi-source deep dives per name), treat this as a well-informed first-pass screen, not exhaustive due diligence on any single name. Before sizing a real position in anything ranked here, do a fresh, current check of the numbers and re-read the underlying ValuePickr thread if one exists.</w:t>
      </w:r>
    </w:p>
    <w:p>
      <w:pPr>
        <w:pStyle w:val="Heading1"/>
        <w:spacing w:after="140" w:before="320"/>
      </w:pPr>
      <w:r>
        <w:rPr>
          <w:b/>
          <w:bCs/>
          <w:color w:val="5B3A9E"/>
          <w:sz w:val="30"/>
          <w:szCs w:val="30"/>
        </w:rPr>
        <w:t xml:space="preserve">User-Requested Holdings (Outside the Screen)</w:t>
      </w:r>
    </w:p>
    <w:p>
      <w:pPr>
        <w:spacing w:after="120"/>
      </w:pPr>
      <w:r>
        <w:rPr>
          <w:i/>
          <w:iCs/>
          <w:color w:val="666666"/>
        </w:rPr>
        <w:t xml:space="preserve">Not from the original source sheet's ~90x screen — added at the user's specific request for a stock they already hold. Already midcap-sized, so it was not scored against this project's microcap 10x-in-2-3-years framework; presented here as a standalone deleveraging/re-rating scenario analysis instead.</w:t>
      </w:r>
    </w:p>
    <w:p>
      <w:pPr>
        <w:spacing w:after="40" w:before="200"/>
      </w:pPr>
      <w:r>
        <w:rPr>
          <w:b/>
          <w:bCs/>
          <w:color w:val="5B3A9E"/>
          <w:sz w:val="26"/>
          <w:szCs w:val="26"/>
        </w:rPr>
        <w:t xml:space="preserve">Samhi Hotels Ltd</w:t>
      </w:r>
    </w:p>
    <w:p>
      <w:pPr>
        <w:spacing w:after="120"/>
      </w:pPr>
      <w:r>
        <w:rPr>
          <w:i/>
          <w:iCs/>
          <w:color w:val="666666"/>
          <w:sz w:val="20"/>
          <w:szCs w:val="20"/>
        </w:rPr>
        <w:t xml:space="preserve">NSE: SAMHI | Hotel ownership (Marriott/Hyatt/Accor brands), ~Rs 3,700-3,800 Cr — flat for 2 years despite improving fundamentals</w:t>
      </w:r>
    </w:p>
    <w:p>
      <w:pPr>
        <w:spacing w:after="120"/>
      </w:pPr>
      <w:r>
        <w:t xml:space="preserve">User has held this ~2 years with no price movement (52-week range Rs 127-228, currently ~Rs 163-165). Research finding: the stagnation is best explained by a technical overhang — pre-IPO PE investors (Goldman Sachs, GTI, ACIC Mauritius) sold down roughly Rs 900 Cr of stock against a ~Rs 3,700 Cr market cap over 21 months (FII holding fell from 69.5% to ~44.6%), absorbed mostly by retail. Underneath that, the business genuinely improved: net debt/EBITDA down from &gt;6x pre-IPO to ~2.4-3.2x now (management target: 2.5x by FY28), interest cost down ~65%, RevPAR +10% YoY, ~79% occupancy. It also trades at roughly half the peer-average EV/EBITDA (~9-11x vs ~16x for Chalet Hotels/Lemon Tree/EIH/Juniper Hotels) despite comparable or faster EBITDA growth — the ValuePickr thread ('Samhi Hotels - Turnaround with Tailwinds', 20+ pages) frames this gap as the core 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EDE7F6" w:val="clear"/>
          </w:tcPr>
          <w:p>
            <w:r>
              <w:rPr>
                <w:b/>
                <w:bCs/>
              </w:rPr>
              <w:t xml:space="preserve"/>
            </w:r>
          </w:p>
        </w:tc>
        <w:tc>
          <w:tcPr>
            <w:tcW w:type="dxa" w:w="3200"/>
            <w:shd w:fill="EDE7F6" w:val="clear"/>
          </w:tcPr>
          <w:p>
            <w:r>
              <w:rPr>
                <w:b/>
                <w:bCs/>
              </w:rPr>
              <w:t xml:space="preserve">Average Case</w:t>
            </w:r>
          </w:p>
        </w:tc>
        <w:tc>
          <w:tcPr>
            <w:tcW w:type="dxa" w:w="3200"/>
            <w:shd w:fill="EDE7F6" w:val="clear"/>
          </w:tcPr>
          <w:p>
            <w:r>
              <w:rPr>
                <w:b/>
                <w:bCs/>
              </w:rPr>
              <w:t xml:space="preserve">Best Case</w:t>
            </w:r>
          </w:p>
        </w:tc>
      </w:tr>
      <w:tr>
        <w:tc>
          <w:tcPr>
            <w:tcW w:type="dxa" w:w="2600"/>
          </w:tcPr>
          <w:p>
            <w:r>
              <w:rPr>
                <w:b/>
                <w:bCs/>
              </w:rPr>
              <w:t xml:space="preserve">EBITDA CAGR</w:t>
            </w:r>
          </w:p>
        </w:tc>
        <w:tc>
          <w:tcPr>
            <w:tcW w:type="dxa" w:w="3200"/>
          </w:tcPr>
          <w:p>
            <w:r>
              <w:rPr>
                <w:b w:val="false"/>
                <w:bCs w:val="false"/>
              </w:rPr>
              <w:t xml:space="preserve">15%/yr</w:t>
            </w:r>
          </w:p>
        </w:tc>
        <w:tc>
          <w:tcPr>
            <w:tcW w:type="dxa" w:w="3200"/>
          </w:tcPr>
          <w:p>
            <w:r>
              <w:rPr>
                <w:b w:val="false"/>
                <w:bCs w:val="false"/>
              </w:rPr>
              <w:t xml:space="preserve">19%/yr</w:t>
            </w:r>
          </w:p>
        </w:tc>
      </w:tr>
      <w:tr>
        <w:tc>
          <w:tcPr>
            <w:tcW w:type="dxa" w:w="2600"/>
          </w:tcPr>
          <w:p>
            <w:r>
              <w:rPr>
                <w:b/>
                <w:bCs/>
              </w:rPr>
              <w:t xml:space="preserve">Year-3 EBITDA</w:t>
            </w:r>
          </w:p>
        </w:tc>
        <w:tc>
          <w:tcPr>
            <w:tcW w:type="dxa" w:w="3200"/>
          </w:tcPr>
          <w:p>
            <w:r>
              <w:rPr>
                <w:b w:val="false"/>
                <w:bCs w:val="false"/>
              </w:rPr>
              <w:t xml:space="preserve">~Rs 704 Cr</w:t>
            </w:r>
          </w:p>
        </w:tc>
        <w:tc>
          <w:tcPr>
            <w:tcW w:type="dxa" w:w="3200"/>
          </w:tcPr>
          <w:p>
            <w:r>
              <w:rPr>
                <w:b w:val="false"/>
                <w:bCs w:val="false"/>
              </w:rPr>
              <w:t xml:space="preserve">~Rs 780 Cr</w:t>
            </w:r>
          </w:p>
        </w:tc>
      </w:tr>
      <w:tr>
        <w:tc>
          <w:tcPr>
            <w:tcW w:type="dxa" w:w="2600"/>
          </w:tcPr>
          <w:p>
            <w:r>
              <w:rPr>
                <w:b/>
                <w:bCs/>
              </w:rPr>
              <w:t xml:space="preserve">Exit EV/EBITDA</w:t>
            </w:r>
          </w:p>
        </w:tc>
        <w:tc>
          <w:tcPr>
            <w:tcW w:type="dxa" w:w="3200"/>
          </w:tcPr>
          <w:p>
            <w:r>
              <w:rPr>
                <w:b w:val="false"/>
                <w:bCs w:val="false"/>
              </w:rPr>
              <w:t xml:space="preserve">13x (partial re-rating)</w:t>
            </w:r>
          </w:p>
        </w:tc>
        <w:tc>
          <w:tcPr>
            <w:tcW w:type="dxa" w:w="3200"/>
          </w:tcPr>
          <w:p>
            <w:r>
              <w:rPr>
                <w:b w:val="false"/>
                <w:bCs w:val="false"/>
              </w:rPr>
              <w:t xml:space="preserve">16x (full peer re-rating)</w:t>
            </w:r>
          </w:p>
        </w:tc>
      </w:tr>
      <w:tr>
        <w:tc>
          <w:tcPr>
            <w:tcW w:type="dxa" w:w="2600"/>
          </w:tcPr>
          <w:p>
            <w:r>
              <w:rPr>
                <w:b/>
                <w:bCs/>
              </w:rPr>
              <w:t xml:space="preserve">Year-3 net debt</w:t>
            </w:r>
          </w:p>
        </w:tc>
        <w:tc>
          <w:tcPr>
            <w:tcW w:type="dxa" w:w="3200"/>
          </w:tcPr>
          <w:p>
            <w:r>
              <w:rPr>
                <w:b w:val="false"/>
                <w:bCs w:val="false"/>
              </w:rPr>
              <w:t xml:space="preserve">~Rs 1,200 Cr</w:t>
            </w:r>
          </w:p>
        </w:tc>
        <w:tc>
          <w:tcPr>
            <w:tcW w:type="dxa" w:w="3200"/>
          </w:tcPr>
          <w:p>
            <w:r>
              <w:rPr>
                <w:b w:val="false"/>
                <w:bCs w:val="false"/>
              </w:rPr>
              <w:t xml:space="preserve">~Rs 900 Cr</w:t>
            </w:r>
          </w:p>
        </w:tc>
      </w:tr>
      <w:tr>
        <w:tc>
          <w:tcPr>
            <w:tcW w:type="dxa" w:w="2600"/>
          </w:tcPr>
          <w:p>
            <w:r>
              <w:rPr>
                <w:b/>
                <w:bCs/>
              </w:rPr>
              <w:t xml:space="preserve">Implied share price</w:t>
            </w:r>
          </w:p>
        </w:tc>
        <w:tc>
          <w:tcPr>
            <w:tcW w:type="dxa" w:w="3200"/>
          </w:tcPr>
          <w:p>
            <w:r>
              <w:rPr>
                <w:b w:val="false"/>
                <w:bCs w:val="false"/>
              </w:rPr>
              <w:t xml:space="preserve">~Rs 350</w:t>
            </w:r>
          </w:p>
        </w:tc>
        <w:tc>
          <w:tcPr>
            <w:tcW w:type="dxa" w:w="3200"/>
          </w:tcPr>
          <w:p>
            <w:r>
              <w:rPr>
                <w:b w:val="false"/>
                <w:bCs w:val="false"/>
              </w:rPr>
              <w:t xml:space="preserve">~Rs 510</w:t>
            </w:r>
          </w:p>
        </w:tc>
      </w:tr>
      <w:tr>
        <w:tc>
          <w:tcPr>
            <w:tcW w:type="dxa" w:w="2600"/>
          </w:tcPr>
          <w:p>
            <w:r>
              <w:rPr>
                <w:b/>
                <w:bCs/>
              </w:rPr>
              <w:t xml:space="preserve">3-year return</w:t>
            </w:r>
          </w:p>
        </w:tc>
        <w:tc>
          <w:tcPr>
            <w:tcW w:type="dxa" w:w="3200"/>
          </w:tcPr>
          <w:p>
            <w:r>
              <w:rPr>
                <w:b w:val="false"/>
                <w:bCs w:val="false"/>
              </w:rPr>
              <w:t xml:space="preserve">~+115%</w:t>
            </w:r>
          </w:p>
        </w:tc>
        <w:tc>
          <w:tcPr>
            <w:tcW w:type="dxa" w:w="3200"/>
          </w:tcPr>
          <w:p>
            <w:r>
              <w:rPr>
                <w:b w:val="false"/>
                <w:bCs w:val="false"/>
              </w:rPr>
              <w:t xml:space="preserve">~+210%</w:t>
            </w:r>
          </w:p>
        </w:tc>
      </w:tr>
    </w:tbl>
    <w:p>
      <w:pPr>
        <w:spacing w:after="120"/>
      </w:pPr>
    </w:p>
    <w:p>
      <w:pPr>
        <w:spacing w:after="120"/>
      </w:pPr>
      <w:r>
        <w:t xml:space="preserve">Both scenarios rest on a 'deleveraging equity kicker' — EBITDA growth, multiple re-rating, and debt paydown all compounding into the equity simultaneously — which is exactly why the same mechanics would compress returns sharply if EBITDA growth stalls, the remaining ~15% ACIC Mauritius stake hits the market faster than absorbed, or continued capex keeps competing with debt paydown (the ValuePickr community's own bear case). Full detail in the standalone Samhi Hotels doc in this folder. Not scored against this project's microcap framework — this is a follow-up analysis, not a ranked screen result.</w:t>
      </w:r>
    </w:p>
    <w:p>
      <w:pPr>
        <w:pStyle w:val="Heading1"/>
        <w:spacing w:after="140" w:before="320"/>
      </w:pPr>
      <w:r>
        <w:rPr>
          <w:b/>
          <w:bCs/>
          <w:color w:val="1E7A34"/>
          <w:sz w:val="30"/>
          <w:szCs w:val="30"/>
        </w:rPr>
        <w:t xml:space="preserve">Tier A — Highest Conviction Candidates</w:t>
      </w:r>
    </w:p>
    <w:p>
      <w:pPr>
        <w:spacing w:after="120"/>
      </w:pPr>
      <w:r>
        <w:rPr>
          <w:i/>
          <w:iCs/>
          <w:color w:val="666666"/>
        </w:rPr>
        <w:t xml:space="preserve">Names combining genuine microcap/smallcap size, real (not narrative-only) fundamental momentum, and no material red flags found in this research.</w:t>
      </w:r>
    </w:p>
    <w:p>
      <w:pPr>
        <w:spacing w:after="160"/>
      </w:pPr>
      <w:r>
        <w:rPr>
          <w:b/>
          <w:bCs/>
          <w:sz w:val="24"/>
          <w:szCs w:val="24"/>
        </w:rPr>
        <w:t xml:space="preserve">1. Bansal Roofing Products Ltd</w:t>
      </w:r>
      <w:r>
        <w:rPr>
          <w:i/>
          <w:iCs/>
          <w:color w:val="666666"/>
          <w:sz w:val="20"/>
          <w:szCs w:val="20"/>
        </w:rPr>
        <w:t xml:space="preserve">  —  PEB structures/roofing, Rs 171 Cr</w:t>
      </w:r>
      <w:r>
        <w:rPr>
          <w:sz w:val="20"/>
          <w:szCs w:val="20"/>
        </w:rPr>
        <w:br/>
        <w:t xml:space="preserve">
Rare combination: ROCE 34%/ROE 28% AND accelerating growth (+27% sales, +32% PAT in Q1 FY27) AND visible, disclosed order wins. Genuine ValuePickr thread exists, tagged 'untested' by the community itself — still early-stage in coverage.</w:t>
      </w:r>
    </w:p>
    <w:p>
      <w:pPr>
        <w:spacing w:after="160"/>
      </w:pPr>
      <w:r>
        <w:rPr>
          <w:b/>
          <w:bCs/>
          <w:sz w:val="24"/>
          <w:szCs w:val="24"/>
        </w:rPr>
        <w:t xml:space="preserve">2. RNIT AI Solutions Ltd</w:t>
      </w:r>
      <w:r>
        <w:rPr>
          <w:i/>
          <w:iCs/>
          <w:color w:val="666666"/>
          <w:sz w:val="20"/>
          <w:szCs w:val="20"/>
        </w:rPr>
        <w:t xml:space="preserve">  —  Govt-scale facial recognition SaaS, Rs 363-636 Cr</w:t>
      </w:r>
      <w:r>
        <w:rPr>
          <w:sz w:val="20"/>
          <w:szCs w:val="20"/>
        </w:rPr>
        <w:br/>
        <w:t xml:space="preserve">
Growth claims independently verified against real financials (revenue +59.8%, EBITDA +108.7%, margin to 41.7%) — rare for this dataset. Differentiated moat (3bn+ ID verifications processed for Indian government). Main risk: government-contract concentration.</w:t>
      </w:r>
    </w:p>
    <w:p>
      <w:pPr>
        <w:spacing w:after="160"/>
      </w:pPr>
      <w:r>
        <w:rPr>
          <w:b/>
          <w:bCs/>
          <w:sz w:val="24"/>
          <w:szCs w:val="24"/>
        </w:rPr>
        <w:t xml:space="preserve">3. GPT Healthcare Ltd</w:t>
      </w:r>
      <w:r>
        <w:rPr>
          <w:i/>
          <w:iCs/>
          <w:color w:val="666666"/>
          <w:sz w:val="20"/>
          <w:szCs w:val="20"/>
        </w:rPr>
        <w:t xml:space="preserve">  —  Eastern India multi-specialty hospitals, Rs 1,281 Cr</w:t>
      </w:r>
      <w:r>
        <w:rPr>
          <w:sz w:val="20"/>
          <w:szCs w:val="20"/>
        </w:rPr>
        <w:br/>
        <w:t xml:space="preserve">
ROCE/ROE in the high-teens to mid-20s with real above-industry revenue growth (14.25% vs 3.54% industry). Specific, credible operational drivers (occupancy, ARPOB, Raipur ramp) rather than vague optimism. Framed as genuinely under-discovered.</w:t>
      </w:r>
    </w:p>
    <w:p>
      <w:pPr>
        <w:spacing w:after="160"/>
      </w:pPr>
      <w:r>
        <w:rPr>
          <w:b/>
          <w:bCs/>
          <w:sz w:val="24"/>
          <w:szCs w:val="24"/>
        </w:rPr>
        <w:t xml:space="preserve">4. Dynamic Cables Ltd</w:t>
      </w:r>
      <w:r>
        <w:rPr>
          <w:i/>
          <w:iCs/>
          <w:color w:val="666666"/>
          <w:sz w:val="20"/>
          <w:szCs w:val="20"/>
        </w:rPr>
        <w:t xml:space="preserve">  —  Power transmission cables, Rs 2,190 Cr</w:t>
      </w:r>
      <w:r>
        <w:rPr>
          <w:sz w:val="20"/>
          <w:szCs w:val="20"/>
        </w:rPr>
        <w:br/>
        <w:t xml:space="preserve">
ROCE 26.2%/ROE 19.9%, nearly debt-free, 53.2% 5yr profit CAGR. Source-sheet's specific quarterly claims (+33% revenue, +37% profit) independently corroborated by the broader fundamental data.</w:t>
      </w:r>
    </w:p>
    <w:p>
      <w:pPr>
        <w:spacing w:after="160"/>
      </w:pPr>
      <w:r>
        <w:rPr>
          <w:b/>
          <w:bCs/>
          <w:sz w:val="24"/>
          <w:szCs w:val="24"/>
        </w:rPr>
        <w:t xml:space="preserve">5. Novartis India Ltd</w:t>
      </w:r>
      <w:r>
        <w:rPr>
          <w:i/>
          <w:iCs/>
          <w:color w:val="666666"/>
          <w:sz w:val="20"/>
          <w:szCs w:val="20"/>
        </w:rPr>
        <w:t xml:space="preserve">  —  ChrysCapital PE buyout special situation, Rs 3,974 Cr</w:t>
      </w:r>
      <w:r>
        <w:rPr>
          <w:sz w:val="20"/>
          <w:szCs w:val="20"/>
        </w:rPr>
        <w:br/>
        <w:t xml:space="preserve">
The clearest, most specific catalyst in the entire dataset: ChrysCapital took control from Novartis AG in Jul 2026 with a named 'branded generics roll-up' strategy and a credible sponsor track record (Intas, Eris, Corona Remedies). Caveat: stock already +87% since the deal price, so a lot of the initial re-rating has happened — this is a real but partially-played-out special situation, not a fresh discovery.</w:t>
      </w:r>
    </w:p>
    <w:p>
      <w:pPr>
        <w:spacing w:after="160"/>
      </w:pPr>
      <w:r>
        <w:rPr>
          <w:b/>
          <w:bCs/>
          <w:sz w:val="24"/>
          <w:szCs w:val="24"/>
        </w:rPr>
        <w:t xml:space="preserve">6. Tatva Chintan Pharma Chem Ltd</w:t>
      </w:r>
      <w:r>
        <w:rPr>
          <w:i/>
          <w:iCs/>
          <w:color w:val="666666"/>
          <w:sz w:val="20"/>
          <w:szCs w:val="20"/>
        </w:rPr>
        <w:t xml:space="preserve">  —  Specialty chemicals earnings-reversal, Rs 3,160-3,989 Cr</w:t>
      </w:r>
      <w:r>
        <w:rPr>
          <w:sz w:val="20"/>
          <w:szCs w:val="20"/>
        </w:rPr>
        <w:br/>
        <w:t xml:space="preserve">
Clean earnings-reversal setup: weak 5yr history (11% growth) now being challenged by a genuinely strong, confirmed Q1 FY27 (+43% YoY revenue) and bullish forward analyst estimates (+47.5%/yr earnings). Price has already moved (+62% 1yr) — entry timing matters here.</w:t>
      </w:r>
    </w:p>
    <w:p>
      <w:pPr>
        <w:spacing w:after="160"/>
      </w:pPr>
      <w:r>
        <w:rPr>
          <w:b/>
          <w:bCs/>
          <w:sz w:val="24"/>
          <w:szCs w:val="24"/>
        </w:rPr>
        <w:t xml:space="preserve">7. Repono Ltd</w:t>
      </w:r>
      <w:r>
        <w:rPr>
          <w:i/>
          <w:iCs/>
          <w:color w:val="666666"/>
          <w:sz w:val="20"/>
          <w:szCs w:val="20"/>
        </w:rPr>
        <w:t xml:space="preserve">  —  Petroleum storage/logistics, Rs 79 Cr (BSE SME)</w:t>
      </w:r>
      <w:r>
        <w:rPr>
          <w:sz w:val="20"/>
          <w:szCs w:val="20"/>
        </w:rPr>
        <w:br/>
        <w:t xml:space="preserve">
ROCE 27.4%/ROE 22.4% with real 29% revenue growth at a cheap P/E (11.7x) — strong fundamentals. Trading below its IPO price, which could be value or could reflect market skepticism not yet understood. SME-platform liquidity is the binding practical constraint.</w:t>
      </w:r>
    </w:p>
    <w:p>
      <w:pPr>
        <w:spacing w:after="160"/>
      </w:pPr>
      <w:r>
        <w:rPr>
          <w:b/>
          <w:bCs/>
          <w:sz w:val="24"/>
          <w:szCs w:val="24"/>
        </w:rPr>
        <w:t xml:space="preserve">8. Antelopus Selan Energy Ltd (formerly Selan Exploration)</w:t>
      </w:r>
      <w:r>
        <w:rPr>
          <w:i/>
          <w:iCs/>
          <w:color w:val="666666"/>
          <w:sz w:val="20"/>
          <w:szCs w:val="20"/>
        </w:rPr>
        <w:t xml:space="preserve">  —  Oil &amp; gas E&amp;P, Gujarat, Rs 2,755-2,782 Cr</w:t>
      </w:r>
      <w:r>
        <w:rPr>
          <w:sz w:val="20"/>
          <w:szCs w:val="20"/>
        </w:rPr>
        <w:br/>
        <w:t xml:space="preserve">
Real, accelerating production growth (+14% boepd FY26, higher in Q4) with 7 new wells planned and healthy ROCE/ROE (21.2%/15.9%). One caveat: part of the headline 27% profit growth was an accounting change (reduced amortization), not pure operations — the production trend is the cleaner signal.</w:t>
      </w:r>
    </w:p>
    <w:p>
      <w:pPr>
        <w:spacing w:after="160"/>
      </w:pPr>
      <w:r>
        <w:rPr>
          <w:b/>
          <w:bCs/>
          <w:sz w:val="24"/>
          <w:szCs w:val="24"/>
        </w:rPr>
        <w:t xml:space="preserve">9. Haldyn Glass Ltd</w:t>
      </w:r>
      <w:r>
        <w:rPr>
          <w:i/>
          <w:iCs/>
          <w:color w:val="666666"/>
          <w:sz w:val="20"/>
          <w:szCs w:val="20"/>
        </w:rPr>
        <w:t xml:space="preserve">  —  Glass container/packaging, Rs 582-661 Cr</w:t>
      </w:r>
      <w:r>
        <w:rPr>
          <w:sz w:val="20"/>
          <w:szCs w:val="20"/>
        </w:rPr>
        <w:br/>
        <w:t xml:space="preserve">
Confirmed, significant outperformance (+19.4% YTD vs Sensex -9.7%) independently corroborated by repeated MarketsMojo 'valuation attractiveness' coverage — a rare case of third-party validation beyond just community sentiment.</w:t>
      </w:r>
    </w:p>
    <w:p>
      <w:pPr>
        <w:spacing w:after="160"/>
      </w:pPr>
      <w:r>
        <w:rPr>
          <w:b/>
          <w:bCs/>
          <w:sz w:val="24"/>
          <w:szCs w:val="24"/>
        </w:rPr>
        <w:t xml:space="preserve">10. Asahi Songwon Colors Ltd</w:t>
      </w:r>
      <w:r>
        <w:rPr>
          <w:i/>
          <w:iCs/>
          <w:color w:val="666666"/>
          <w:sz w:val="20"/>
          <w:szCs w:val="20"/>
        </w:rPr>
        <w:t xml:space="preserve">  —  Pigment manufacturer, Rs 431 Cr</w:t>
      </w:r>
      <w:r>
        <w:rPr>
          <w:sz w:val="20"/>
          <w:szCs w:val="20"/>
        </w:rPr>
        <w:br/>
        <w:t xml:space="preserve">
Real margin-driven profit inflection (PAT roughly 10x sequentially over 2 quarters) at a reasonable valuation (P/B 1.6x), with a decade-long rising promoter-holding trend. Weekly/monthly technicals show a healthy, not overextended, uptrend — potentially earlier-stage than peers.</w:t>
      </w:r>
    </w:p>
    <w:p>
      <w:pPr>
        <w:spacing w:after="160"/>
      </w:pPr>
      <w:r>
        <w:rPr>
          <w:b/>
          <w:bCs/>
          <w:sz w:val="24"/>
          <w:szCs w:val="24"/>
        </w:rPr>
        <w:t xml:space="preserve">11. Macpower CNC Machines Ltd</w:t>
      </w:r>
      <w:r>
        <w:rPr>
          <w:i/>
          <w:iCs/>
          <w:color w:val="666666"/>
          <w:sz w:val="20"/>
          <w:szCs w:val="20"/>
        </w:rPr>
        <w:t xml:space="preserve">  —  CNC machine tools, Rs 1,750 Cr</w:t>
      </w:r>
      <w:r>
        <w:rPr>
          <w:sz w:val="20"/>
          <w:szCs w:val="20"/>
        </w:rPr>
        <w:br/>
        <w:t xml:space="preserve">
ROCE ~28%, near-zero debt, and a curator thesis that explicitly survived scrutiny 'despite mixed external feedback.' FY25 growth wobble (8.6% vs 24-26% historical) appears to be resolving per independent Q3 FY26 coverage of 'robust growth momentum continuing.'</w:t>
      </w:r>
    </w:p>
    <w:p>
      <w:pPr>
        <w:spacing w:after="160"/>
      </w:pPr>
      <w:r>
        <w:rPr>
          <w:b/>
          <w:bCs/>
          <w:sz w:val="24"/>
          <w:szCs w:val="24"/>
        </w:rPr>
        <w:t xml:space="preserve">12. ADF Foods Ltd</w:t>
      </w:r>
      <w:r>
        <w:rPr>
          <w:i/>
          <w:iCs/>
          <w:color w:val="666666"/>
          <w:sz w:val="20"/>
          <w:szCs w:val="20"/>
        </w:rPr>
        <w:t xml:space="preserve">  —  Ethnic/frozen foods exporter, Rs 2,853 Cr</w:t>
      </w:r>
      <w:r>
        <w:rPr>
          <w:sz w:val="20"/>
          <w:szCs w:val="20"/>
        </w:rPr>
        <w:br/>
        <w:t xml:space="preserve">
ROCE 21.8%/ROE 17.7% with genuine double-digit revenue growth (+25.9%), though profit growth (13.4%) is lagging — a margin gap worth watching as the new Surat plant ramps.</w:t>
      </w:r>
    </w:p>
    <w:p>
      <w:pPr>
        <w:pStyle w:val="Heading1"/>
        <w:spacing w:after="140" w:before="320"/>
      </w:pPr>
      <w:r>
        <w:rPr>
          <w:b/>
          <w:bCs/>
          <w:color w:val="8A6D00"/>
          <w:sz w:val="30"/>
          <w:szCs w:val="30"/>
        </w:rPr>
        <w:t xml:space="preserve">Tier B — Moderate Conviction, Watch Closely</w:t>
      </w:r>
    </w:p>
    <w:p>
      <w:pPr>
        <w:spacing w:after="120"/>
      </w:pPr>
      <w:r>
        <w:rPr>
          <w:i/>
          <w:iCs/>
          <w:color w:val="666666"/>
        </w:rPr>
        <w:t xml:space="preserve">Real positives in each, but with a specific caveat (liquidity, valuation richness, unproven trend, or slower growth) that keeps conviction moderate rather than high.</w:t>
      </w:r>
    </w:p>
    <w:p>
      <w:pPr>
        <w:spacing w:after="160"/>
      </w:pPr>
      <w:r>
        <w:rPr>
          <w:b/>
          <w:bCs/>
          <w:sz w:val="24"/>
          <w:szCs w:val="24"/>
        </w:rPr>
        <w:t xml:space="preserve">13. Unihealth Hospitals Ltd</w:t>
      </w:r>
      <w:r>
        <w:rPr>
          <w:i/>
          <w:iCs/>
          <w:color w:val="666666"/>
          <w:sz w:val="20"/>
          <w:szCs w:val="20"/>
        </w:rPr>
        <w:t xml:space="preserve">  —  Africa hospital platform, Rs 1,231 Cr (SME)</w:t>
      </w:r>
      <w:r>
        <w:rPr>
          <w:sz w:val="20"/>
          <w:szCs w:val="20"/>
        </w:rPr>
        <w:br/>
        <w:t xml:space="preserve">
Strong, consistent growth (30-50%+ across horizons) and high ROCE (24.5%), but SME-platform liquidity and genuine geographic-concentration/verification risk (explicitly raised by the ValuePickr community itself, not just this research).</w:t>
      </w:r>
    </w:p>
    <w:p>
      <w:pPr>
        <w:spacing w:after="160"/>
      </w:pPr>
      <w:r>
        <w:rPr>
          <w:b/>
          <w:bCs/>
          <w:sz w:val="24"/>
          <w:szCs w:val="24"/>
        </w:rPr>
        <w:t xml:space="preserve">14. TPL Plastech Ltd</w:t>
      </w:r>
      <w:r>
        <w:rPr>
          <w:i/>
          <w:iCs/>
          <w:color w:val="666666"/>
          <w:sz w:val="20"/>
          <w:szCs w:val="20"/>
        </w:rPr>
        <w:t xml:space="preserve">  —  Packaging, Time Technoplast subsidiary, Rs 620 Cr</w:t>
      </w:r>
      <w:r>
        <w:rPr>
          <w:sz w:val="20"/>
          <w:szCs w:val="20"/>
        </w:rPr>
        <w:br/>
        <w:t xml:space="preserve">
Strong headline growth (+37.6% Q1 revenue) but independent analyst coverage explicitly flags margin erosion beneath it — genuinely unresolved, not a clean story.</w:t>
      </w:r>
    </w:p>
    <w:p>
      <w:pPr>
        <w:spacing w:after="160"/>
      </w:pPr>
      <w:r>
        <w:rPr>
          <w:b/>
          <w:bCs/>
          <w:sz w:val="24"/>
          <w:szCs w:val="24"/>
        </w:rPr>
        <w:t xml:space="preserve">15. Vistar Amar Ltd</w:t>
      </w:r>
      <w:r>
        <w:rPr>
          <w:i/>
          <w:iCs/>
          <w:color w:val="666666"/>
          <w:sz w:val="20"/>
          <w:szCs w:val="20"/>
        </w:rPr>
        <w:t xml:space="preserve">  —  Fishmeal/fish processing, Rs 124 Cr</w:t>
      </w:r>
      <w:r>
        <w:rPr>
          <w:sz w:val="20"/>
          <w:szCs w:val="20"/>
        </w:rPr>
        <w:br/>
        <w:t xml:space="preserve">
Cheap (P/E 10x), debt-free, 25.5% ROCE, but highly volatile quarterly margins (-25% to +12.7%) reflecting real commodity exposure.</w:t>
      </w:r>
    </w:p>
    <w:p>
      <w:pPr>
        <w:spacing w:after="160"/>
      </w:pPr>
      <w:r>
        <w:rPr>
          <w:b/>
          <w:bCs/>
          <w:sz w:val="24"/>
          <w:szCs w:val="24"/>
        </w:rPr>
        <w:t xml:space="preserve">16. Devson Catalyst Ltd</w:t>
      </w:r>
      <w:r>
        <w:rPr>
          <w:i/>
          <w:iCs/>
          <w:color w:val="666666"/>
          <w:sz w:val="20"/>
          <w:szCs w:val="20"/>
        </w:rPr>
        <w:t xml:space="preserve">  —  Catalysts/adsorbents, Rs 275 Cr (BSE SME)</w:t>
      </w:r>
      <w:r>
        <w:rPr>
          <w:sz w:val="20"/>
          <w:szCs w:val="20"/>
        </w:rPr>
        <w:br/>
        <w:t xml:space="preserve">
Strong pre-IPO fundamentals (ROE 43.2%, debt-free) but very short public track record (listed Jul 2026) and SME liquidity.</w:t>
      </w:r>
    </w:p>
    <w:p>
      <w:pPr>
        <w:spacing w:after="160"/>
      </w:pPr>
      <w:r>
        <w:rPr>
          <w:b/>
          <w:bCs/>
          <w:sz w:val="24"/>
          <w:szCs w:val="24"/>
        </w:rPr>
        <w:t xml:space="preserve">17. Fredun Pharmaceuticals Ltd</w:t>
      </w:r>
      <w:r>
        <w:rPr>
          <w:i/>
          <w:iCs/>
          <w:color w:val="666666"/>
          <w:sz w:val="20"/>
          <w:szCs w:val="20"/>
        </w:rPr>
        <w:t xml:space="preserve">  —  Formulation manufacturer, Rs 2,560 Cr</w:t>
      </w:r>
      <w:r>
        <w:rPr>
          <w:sz w:val="20"/>
          <w:szCs w:val="20"/>
        </w:rPr>
        <w:br/>
        <w:t xml:space="preserve">
Exceptional growth (90% TTM profit growth) backing the curator's ~90%-portfolio conviction, but negative free cash flow and a 201-day cash-conversion cycle raise a real earnings-quality question beneath the growth headline.</w:t>
      </w:r>
    </w:p>
    <w:p>
      <w:pPr>
        <w:spacing w:after="160"/>
      </w:pPr>
      <w:r>
        <w:rPr>
          <w:b/>
          <w:bCs/>
          <w:sz w:val="24"/>
          <w:szCs w:val="24"/>
        </w:rPr>
        <w:t xml:space="preserve">18. Rapicut Carbides Ltd</w:t>
      </w:r>
      <w:r>
        <w:rPr>
          <w:i/>
          <w:iCs/>
          <w:color w:val="666666"/>
          <w:sz w:val="20"/>
          <w:szCs w:val="20"/>
        </w:rPr>
        <w:t xml:space="preserve">  —  Tungsten carbide products, Rs 157 Cr</w:t>
      </w:r>
      <w:r>
        <w:rPr>
          <w:sz w:val="20"/>
          <w:szCs w:val="20"/>
        </w:rPr>
        <w:br/>
        <w:t xml:space="preserve">
Genuine tungsten-supercycle tailwind and sharp recent profit inflection, but highly volatile quarterly history and a disclosed related-party transaction concentration with the promoter's other entity.</w:t>
      </w:r>
    </w:p>
    <w:p>
      <w:pPr>
        <w:spacing w:after="160"/>
      </w:pPr>
      <w:r>
        <w:rPr>
          <w:b/>
          <w:bCs/>
          <w:sz w:val="24"/>
          <w:szCs w:val="24"/>
        </w:rPr>
        <w:t xml:space="preserve">19. Bajaj Steel Industries Ltd</w:t>
      </w:r>
      <w:r>
        <w:rPr>
          <w:i/>
          <w:iCs/>
          <w:color w:val="666666"/>
          <w:sz w:val="20"/>
          <w:szCs w:val="20"/>
        </w:rPr>
        <w:t xml:space="preserve">  —  Cotton ginning machinery, Rs 821 Cr</w:t>
      </w:r>
      <w:r>
        <w:rPr>
          <w:sz w:val="20"/>
          <w:szCs w:val="20"/>
        </w:rPr>
        <w:br/>
        <w:t xml:space="preserve">
Excellent ROCE/ROE (27.6%/21.8%) at a real discount to peers, but flat 5yr growth (0.53%) — no visible catalyst to trigger a re-rating.</w:t>
      </w:r>
    </w:p>
    <w:p>
      <w:pPr>
        <w:spacing w:after="160"/>
      </w:pPr>
      <w:r>
        <w:rPr>
          <w:b/>
          <w:bCs/>
          <w:sz w:val="24"/>
          <w:szCs w:val="24"/>
        </w:rPr>
        <w:t xml:space="preserve">20. Fluidomat Ltd</w:t>
      </w:r>
      <w:r>
        <w:rPr>
          <w:i/>
          <w:iCs/>
          <w:color w:val="666666"/>
          <w:sz w:val="20"/>
          <w:szCs w:val="20"/>
        </w:rPr>
        <w:t xml:space="preserve">  —  Fluid couplings, Rs 443 Cr</w:t>
      </w:r>
      <w:r>
        <w:rPr>
          <w:sz w:val="20"/>
          <w:szCs w:val="20"/>
        </w:rPr>
        <w:br/>
        <w:t xml:space="preserve">
Genuinely excellent long-term record (ROCE 30%, debt-free, real moat vs. MNC peer Voith) but currently hitting a real air pocket — TTM profit growth has turned negative and working capital has deteriorated sharply (239 to 411 days).</w:t>
      </w:r>
    </w:p>
    <w:p>
      <w:pPr>
        <w:spacing w:after="160"/>
      </w:pPr>
      <w:r>
        <w:rPr>
          <w:b/>
          <w:bCs/>
          <w:sz w:val="24"/>
          <w:szCs w:val="24"/>
        </w:rPr>
        <w:t xml:space="preserve">21. Capital Small Finance Bank Ltd</w:t>
      </w:r>
      <w:r>
        <w:rPr>
          <w:i/>
          <w:iCs/>
          <w:color w:val="666666"/>
          <w:sz w:val="20"/>
          <w:szCs w:val="20"/>
        </w:rPr>
        <w:t xml:space="preserve">  —  Small finance bank, Rs 1,341 Cr</w:t>
      </w:r>
      <w:r>
        <w:rPr>
          <w:sz w:val="20"/>
          <w:szCs w:val="20"/>
        </w:rPr>
        <w:br/>
        <w:t xml:space="preserve">
Real current momentum (22% loan growth, improving NIM), but management's own Vision 2029 target implies only ~2x loan-book growth — a 10x market-cap outcome would need unusually large multiple re-rating on top.</w:t>
      </w:r>
    </w:p>
    <w:p>
      <w:pPr>
        <w:spacing w:after="160"/>
      </w:pPr>
      <w:r>
        <w:rPr>
          <w:b/>
          <w:bCs/>
          <w:sz w:val="24"/>
          <w:szCs w:val="24"/>
        </w:rPr>
        <w:t xml:space="preserve">22. Amrutanjan Health Care Ltd</w:t>
      </w:r>
      <w:r>
        <w:rPr>
          <w:i/>
          <w:iCs/>
          <w:color w:val="666666"/>
          <w:sz w:val="20"/>
          <w:szCs w:val="20"/>
        </w:rPr>
        <w:t xml:space="preserve">  —  Ayurvedic/pain-relief brands, Rs 1,431-2,106 Cr</w:t>
      </w:r>
      <w:r>
        <w:rPr>
          <w:sz w:val="20"/>
          <w:szCs w:val="20"/>
        </w:rPr>
        <w:br/>
        <w:t xml:space="preserve">
Dominant market position (#1, 41.1% share), debt-free, ROCE 24.8% — but 5yr growth of just 8.6%/yr is a mature-brand profile, not a growth story, without a new catalyst.</w:t>
      </w:r>
    </w:p>
    <w:p>
      <w:pPr>
        <w:spacing w:after="160"/>
      </w:pPr>
      <w:r>
        <w:rPr>
          <w:b/>
          <w:bCs/>
          <w:sz w:val="24"/>
          <w:szCs w:val="24"/>
        </w:rPr>
        <w:t xml:space="preserve">23. Aarti Surfactants Ltd</w:t>
      </w:r>
      <w:r>
        <w:rPr>
          <w:i/>
          <w:iCs/>
          <w:color w:val="666666"/>
          <w:sz w:val="20"/>
          <w:szCs w:val="20"/>
        </w:rPr>
        <w:t xml:space="preserve">  —  Specialty surfactants, Rs 454 Cr</w:t>
      </w:r>
      <w:r>
        <w:rPr>
          <w:sz w:val="20"/>
          <w:szCs w:val="20"/>
        </w:rPr>
        <w:br/>
        <w:t xml:space="preserve">
PAT rising sequentially for 3 quarters, promoters added via rights issue, but sits atop a negative 5yr profit trend not yet fully reversed; MarketsMojo flagged margin compression as recently as Q4 FY26.</w:t>
      </w:r>
    </w:p>
    <w:p>
      <w:pPr>
        <w:spacing w:after="160"/>
      </w:pPr>
      <w:r>
        <w:rPr>
          <w:b/>
          <w:bCs/>
          <w:sz w:val="24"/>
          <w:szCs w:val="24"/>
        </w:rPr>
        <w:t xml:space="preserve">24. Trejhara Solutions Ltd</w:t>
      </w:r>
      <w:r>
        <w:rPr>
          <w:i/>
          <w:iCs/>
          <w:color w:val="666666"/>
          <w:sz w:val="20"/>
          <w:szCs w:val="20"/>
        </w:rPr>
        <w:t xml:space="preserve">  —  Enterprise software, Aurionpro subsidiary, Rs 428 Cr</w:t>
      </w:r>
      <w:r>
        <w:rPr>
          <w:sz w:val="20"/>
          <w:szCs w:val="20"/>
        </w:rPr>
        <w:br/>
        <w:t xml:space="preserve">
Very fast growth (+70% TTM sales) and a real promoter-stake jump (23% to 34% in one year), but ROE/ROCE both in the low single digits — growth hasn't yet translated into efficient returns. Weekly RSI ~80, very overbought.</w:t>
      </w:r>
    </w:p>
    <w:p>
      <w:pPr>
        <w:spacing w:after="160"/>
      </w:pPr>
      <w:r>
        <w:rPr>
          <w:b/>
          <w:bCs/>
          <w:sz w:val="24"/>
          <w:szCs w:val="24"/>
        </w:rPr>
        <w:t xml:space="preserve">25. Repco Home Finance Ltd</w:t>
      </w:r>
      <w:r>
        <w:rPr>
          <w:i/>
          <w:iCs/>
          <w:color w:val="666666"/>
          <w:sz w:val="20"/>
          <w:szCs w:val="20"/>
        </w:rPr>
        <w:t xml:space="preserve">  —  Housing finance NBFC, Rs 2,301-2,559 Cr</w:t>
      </w:r>
      <w:r>
        <w:rPr>
          <w:sz w:val="20"/>
          <w:szCs w:val="20"/>
        </w:rPr>
        <w:br/>
        <w:t xml:space="preserve">
Improving ROE trend and 3 consecutive years of rising profit, but weak historical 5yr growth (5.43%) — a slow turnaround, not a demonstrated high-growth story.</w:t>
      </w:r>
    </w:p>
    <w:p>
      <w:pPr>
        <w:pStyle w:val="Heading1"/>
        <w:spacing w:after="140" w:before="320"/>
      </w:pPr>
      <w:r>
        <w:rPr>
          <w:b/>
          <w:bCs/>
          <w:color w:val="A35A00"/>
          <w:sz w:val="30"/>
          <w:szCs w:val="30"/>
        </w:rPr>
        <w:t xml:space="preserve">Tier C — Speculative / Low Conviction</w:t>
      </w:r>
    </w:p>
    <w:p>
      <w:pPr>
        <w:spacing w:after="120"/>
      </w:pPr>
      <w:r>
        <w:rPr>
          <w:i/>
          <w:iCs/>
          <w:color w:val="666666"/>
        </w:rPr>
        <w:t xml:space="preserve">Real elements of a story in each, but either explicitly speculative per the source curator, unconfirmed by independent data, or currently in a documented decline — lower priority.</w:t>
      </w:r>
    </w:p>
    <w:p>
      <w:pPr>
        <w:spacing w:after="160"/>
      </w:pPr>
      <w:r>
        <w:rPr>
          <w:b/>
          <w:bCs/>
          <w:sz w:val="24"/>
          <w:szCs w:val="24"/>
        </w:rPr>
        <w:t xml:space="preserve">26. MV Electrosystems Ltd</w:t>
      </w:r>
      <w:r>
        <w:rPr>
          <w:i/>
          <w:iCs/>
          <w:color w:val="666666"/>
          <w:sz w:val="20"/>
          <w:szCs w:val="20"/>
        </w:rPr>
        <w:t xml:space="preserve">  —  Railway propulsion electronics, Rs 1,669 Cr (fresh IPO)</w:t>
      </w:r>
      <w:r>
        <w:rPr>
          <w:sz w:val="20"/>
          <w:szCs w:val="20"/>
        </w:rPr>
        <w:br/>
        <w:t xml:space="preserve">
Large order book (Rs 921.64 Cr, ~18.6x FY26 revenue) but currently loss-making with revenue down 21% YoY — entirely a bet on unproven future execution.</w:t>
      </w:r>
    </w:p>
    <w:p>
      <w:pPr>
        <w:spacing w:after="160"/>
      </w:pPr>
      <w:r>
        <w:rPr>
          <w:b/>
          <w:bCs/>
          <w:sz w:val="24"/>
          <w:szCs w:val="24"/>
        </w:rPr>
        <w:t xml:space="preserve">27. Glen Industries Ltd</w:t>
      </w:r>
      <w:r>
        <w:rPr>
          <w:i/>
          <w:iCs/>
          <w:color w:val="666666"/>
          <w:sz w:val="20"/>
          <w:szCs w:val="20"/>
        </w:rPr>
        <w:t xml:space="preserve">  —  PLA/paper straws packaging, Rs 274 Cr (BSE SME)</w:t>
      </w:r>
      <w:r>
        <w:rPr>
          <w:sz w:val="20"/>
          <w:szCs w:val="20"/>
        </w:rPr>
        <w:br/>
        <w:t xml:space="preserve">
Real above-industry growth (22% CAGR) but an independent quality screen explicitly flagged 'weak quality' based on an inconsistent track record — a third-party caution signal, not just this research's view.</w:t>
      </w:r>
    </w:p>
    <w:p>
      <w:pPr>
        <w:spacing w:after="160"/>
      </w:pPr>
      <w:r>
        <w:rPr>
          <w:b/>
          <w:bCs/>
          <w:sz w:val="24"/>
          <w:szCs w:val="24"/>
        </w:rPr>
        <w:t xml:space="preserve">28. Pyramid Technoplast Ltd</w:t>
      </w:r>
      <w:r>
        <w:rPr>
          <w:i/>
          <w:iCs/>
          <w:color w:val="666666"/>
          <w:sz w:val="20"/>
          <w:szCs w:val="20"/>
        </w:rPr>
        <w:t xml:space="preserve">  —  Industrial packaging, Rs 647 Cr</w:t>
      </w:r>
      <w:r>
        <w:rPr>
          <w:sz w:val="20"/>
          <w:szCs w:val="20"/>
        </w:rPr>
        <w:br/>
        <w:t xml:space="preserve">
Real volume growth (20% YoY) with utilization still building, but the source curator himself explicitly flagged this as his most speculative/opportunistic pick.</w:t>
      </w:r>
    </w:p>
    <w:p>
      <w:pPr>
        <w:spacing w:after="160"/>
      </w:pPr>
      <w:r>
        <w:rPr>
          <w:b/>
          <w:bCs/>
          <w:sz w:val="24"/>
          <w:szCs w:val="24"/>
        </w:rPr>
        <w:t xml:space="preserve">29. Gujarat Containers Ltd</w:t>
      </w:r>
      <w:r>
        <w:rPr>
          <w:i/>
          <w:iCs/>
          <w:color w:val="666666"/>
          <w:sz w:val="20"/>
          <w:szCs w:val="20"/>
        </w:rPr>
        <w:t xml:space="preserve">  —  Steel barrels/containers, Rs 90 Cr</w:t>
      </w:r>
      <w:r>
        <w:rPr>
          <w:sz w:val="20"/>
          <w:szCs w:val="20"/>
        </w:rPr>
        <w:br/>
        <w:t xml:space="preserve">
Cheap (P/E 9.6x) with recent sequential improvement, but sits on a negative 3yr profit trend and worsening working capital; no technical confirmation and no ValuePickr thread found to validate the story.</w:t>
      </w:r>
    </w:p>
    <w:p>
      <w:pPr>
        <w:spacing w:after="160"/>
      </w:pPr>
      <w:r>
        <w:rPr>
          <w:b/>
          <w:bCs/>
          <w:sz w:val="24"/>
          <w:szCs w:val="24"/>
        </w:rPr>
        <w:t xml:space="preserve">30. Unimech Aerospace and Manufacturing Ltd</w:t>
      </w:r>
      <w:r>
        <w:rPr>
          <w:i/>
          <w:iCs/>
          <w:color w:val="666666"/>
          <w:sz w:val="20"/>
          <w:szCs w:val="20"/>
        </w:rPr>
        <w:t xml:space="preserve">  —  Precision aerospace components, Rs 7,253 Cr</w:t>
      </w:r>
      <w:r>
        <w:rPr>
          <w:sz w:val="20"/>
          <w:szCs w:val="20"/>
        </w:rPr>
        <w:br/>
        <w:t xml:space="preserve">
Genuinely strong growth (+71% Q1 revenue) and deep ValuePickr coverage, but already an upper-midcap — included here only because of how strong the underlying story is, not because the size fits a 10x screen.</w:t>
      </w:r>
    </w:p>
    <w:p>
      <w:pPr>
        <w:spacing w:after="160"/>
      </w:pPr>
      <w:r>
        <w:rPr>
          <w:b/>
          <w:bCs/>
          <w:sz w:val="24"/>
          <w:szCs w:val="24"/>
        </w:rPr>
        <w:t xml:space="preserve">31. Go Fashion (India) Ltd</w:t>
      </w:r>
      <w:r>
        <w:rPr>
          <w:i/>
          <w:iCs/>
          <w:color w:val="666666"/>
          <w:sz w:val="20"/>
          <w:szCs w:val="20"/>
        </w:rPr>
        <w:t xml:space="preserve">  —  Go Colors women's bottomwear, Rs 1,539-2,122 Cr</w:t>
      </w:r>
      <w:r>
        <w:rPr>
          <w:sz w:val="20"/>
          <w:szCs w:val="20"/>
        </w:rPr>
        <w:br/>
        <w:t xml:space="preserve">
Down -52% over 1 year on a well-documented, multi-quarter margin/demand decline (independently confirmed by repeated MarketsMojo coverage). Latest commentary hints at 'stabilisation' but this is not yet confirmed.</w:t>
      </w:r>
    </w:p>
    <w:p>
      <w:pPr>
        <w:spacing w:after="160"/>
      </w:pPr>
      <w:r>
        <w:rPr>
          <w:b/>
          <w:bCs/>
          <w:sz w:val="24"/>
          <w:szCs w:val="24"/>
        </w:rPr>
        <w:t xml:space="preserve">32. Hi-Tech Gears Ltd</w:t>
      </w:r>
      <w:r>
        <w:rPr>
          <w:i/>
          <w:iCs/>
          <w:color w:val="666666"/>
          <w:sz w:val="20"/>
          <w:szCs w:val="20"/>
        </w:rPr>
        <w:t xml:space="preserve">  —  Auto components, Rs 1,036-1,069 Cr</w:t>
      </w:r>
      <w:r>
        <w:rPr>
          <w:sz w:val="20"/>
          <w:szCs w:val="20"/>
        </w:rPr>
        <w:br/>
        <w:t xml:space="preserve">
Negative growth across nearly every horizon, weak ROCE/ROE, and confirmed active downtrend on both weekly and monthly technicals — a company in decline, not re-rating.</w:t>
      </w:r>
    </w:p>
    <w:p>
      <w:pPr>
        <w:spacing w:after="160"/>
      </w:pPr>
      <w:r>
        <w:rPr>
          <w:b/>
          <w:bCs/>
          <w:sz w:val="24"/>
          <w:szCs w:val="24"/>
        </w:rPr>
        <w:t xml:space="preserve">33. Accel Ltd</w:t>
      </w:r>
      <w:r>
        <w:rPr>
          <w:i/>
          <w:iCs/>
          <w:color w:val="666666"/>
          <w:sz w:val="20"/>
          <w:szCs w:val="20"/>
        </w:rPr>
        <w:t xml:space="preserve">  —  Diversified IT/realty/engineering, Rs 74 Cr</w:t>
      </w:r>
      <w:r>
        <w:rPr>
          <w:sz w:val="20"/>
          <w:szCs w:val="20"/>
        </w:rPr>
        <w:br/>
        <w:t xml:space="preserve">
Statistically cheap (P/E 11.3x, P/B 1.08x) but flat growth, weak returns, meaningful debt relative to size, and confirmed technical weakness — a potential value trap without a specific catalyst.</w:t>
      </w:r>
    </w:p>
    <w:p>
      <w:pPr>
        <w:pStyle w:val="Heading1"/>
        <w:spacing w:after="140" w:before="320"/>
      </w:pPr>
      <w:r>
        <w:rPr>
          <w:b/>
          <w:bCs/>
          <w:color w:val="A32020"/>
          <w:sz w:val="30"/>
          <w:szCs w:val="30"/>
        </w:rPr>
        <w:t xml:space="preserve">AVOID — Serious Red Flags</w:t>
      </w:r>
    </w:p>
    <w:p>
      <w:pPr>
        <w:spacing w:after="120"/>
      </w:pPr>
      <w:r>
        <w:rPr>
          <w:i/>
          <w:iCs/>
          <w:color w:val="666666"/>
        </w:rPr>
        <w:t xml:space="preserve">Independently corroborated, serious red flags. These are not soft risk factors — treat them as reasons to actively avoid regardless of any price momentum or forum enthusiasm.</w:t>
      </w:r>
    </w:p>
    <w:p>
      <w:pPr>
        <w:spacing w:after="140"/>
      </w:pPr>
      <w:r>
        <w:rPr>
          <w:b/>
          <w:bCs/>
          <w:color w:val="A32020"/>
          <w:sz w:val="22"/>
          <w:szCs w:val="22"/>
        </w:rPr>
        <w:t xml:space="preserve">Darjeeling Industries</w:t>
      </w:r>
      <w:r>
        <w:rPr>
          <w:sz w:val="20"/>
          <w:szCs w:val="20"/>
        </w:rPr>
        <w:t xml:space="preserve">  —  CONFIRMED active SEBI ex-parte interim order (30 Jun 2026) — MD and 9 others barred from trading over alleged circular funding and stock-price manipulation; company allegedly not found at its registered addresses.</w:t>
      </w:r>
    </w:p>
    <w:p>
      <w:pPr>
        <w:spacing w:after="140"/>
      </w:pPr>
      <w:r>
        <w:rPr>
          <w:b/>
          <w:bCs/>
          <w:color w:val="A32020"/>
          <w:sz w:val="22"/>
          <w:szCs w:val="22"/>
        </w:rPr>
        <w:t xml:space="preserve">Kerala Ayurveda Ltd</w:t>
      </w:r>
      <w:r>
        <w:rPr>
          <w:sz w:val="20"/>
          <w:szCs w:val="20"/>
        </w:rPr>
        <w:t xml:space="preserve">  —  Severe financial distress: ROE -117.5%, interest coverage just 0.07x (cannot service debt from operations), debt-to-EBITDA &gt;15x, losses widening 19% YoY. Independent media: 'Losses Deepen as Operational Crisis Intensifies.'</w:t>
      </w:r>
    </w:p>
    <w:p>
      <w:pPr>
        <w:spacing w:after="140"/>
      </w:pPr>
      <w:r>
        <w:rPr>
          <w:b/>
          <w:bCs/>
          <w:color w:val="A32020"/>
          <w:sz w:val="22"/>
          <w:szCs w:val="22"/>
        </w:rPr>
        <w:t xml:space="preserve">Galaxy Supermarket Ltd (Galaxy Cloud Kitchens)</w:t>
      </w:r>
      <w:r>
        <w:rPr>
          <w:sz w:val="20"/>
          <w:szCs w:val="20"/>
        </w:rPr>
        <w:t xml:space="preserve">  —  Negative book value (accumulated losses wiped out all shareholder equity), 3yr/5yr sales CAGR both deeply negative (-11.75%/-25.99%). Two separate independent 'revenue surge masks profitability collapse' warnings across successive quarters.</w:t>
      </w:r>
    </w:p>
    <w:p>
      <w:pPr>
        <w:spacing w:after="140"/>
      </w:pPr>
      <w:r>
        <w:rPr>
          <w:b/>
          <w:bCs/>
          <w:color w:val="A32020"/>
          <w:sz w:val="22"/>
          <w:szCs w:val="22"/>
        </w:rPr>
        <w:t xml:space="preserve">JITF Infra Logistics Ltd</w:t>
      </w:r>
      <w:r>
        <w:rPr>
          <w:sz w:val="20"/>
          <w:szCs w:val="20"/>
        </w:rPr>
        <w:t xml:space="preserve">  —  Negative consolidated net worth (-Rs 513 Cr), non-current debt over 3x market cap, auditor 'going concern' warnings on two subsidiaries, still consolidated-loss-making despite revenue growth.</w:t>
      </w:r>
    </w:p>
    <w:p>
      <w:pPr>
        <w:spacing w:after="140"/>
      </w:pPr>
      <w:r>
        <w:rPr>
          <w:b/>
          <w:bCs/>
          <w:color w:val="A32020"/>
          <w:sz w:val="22"/>
          <w:szCs w:val="22"/>
        </w:rPr>
        <w:t xml:space="preserve">AVI Polymers Ltd</w:t>
      </w:r>
      <w:r>
        <w:rPr>
          <w:sz w:val="20"/>
          <w:szCs w:val="20"/>
        </w:rPr>
        <w:t xml:space="preserve">  —  Promoter holding collapsed from 25.19% to 1.10% in a single quarter, alongside a near-zero-to-Rs-312-Cr revenue explosion and extreme ROE (126.5%). Independently downgraded to Sell by MarketsMojo citing valuation concerns.</w:t>
      </w:r>
    </w:p>
    <w:p>
      <w:pPr>
        <w:spacing w:after="140"/>
      </w:pPr>
      <w:r>
        <w:rPr>
          <w:b/>
          <w:bCs/>
          <w:color w:val="A32020"/>
          <w:sz w:val="22"/>
          <w:szCs w:val="22"/>
        </w:rPr>
        <w:t xml:space="preserve">TechNVision Ventures Ltd</w:t>
      </w:r>
      <w:r>
        <w:rPr>
          <w:sz w:val="20"/>
          <w:szCs w:val="20"/>
        </w:rPr>
        <w:t xml:space="preserve">  —  P/E of 1,161x and ROE of just 1.93% — current earnings do not remotely support the market valuation. Stock already down &gt;50% from its 52-week high.</w:t>
      </w:r>
    </w:p>
    <w:p>
      <w:pPr>
        <w:spacing w:after="140"/>
      </w:pPr>
      <w:r>
        <w:rPr>
          <w:b/>
          <w:bCs/>
          <w:color w:val="A32020"/>
          <w:sz w:val="22"/>
          <w:szCs w:val="22"/>
        </w:rPr>
        <w:t xml:space="preserve">Alan Scott Enterprises Ltd</w:t>
      </w:r>
      <w:r>
        <w:rPr>
          <w:sz w:val="20"/>
          <w:szCs w:val="20"/>
        </w:rPr>
        <w:t xml:space="preserve">  —  Loss-making every one of the last 4 quarters, ROE -45.8%, negative free cash flow, actively raising capital via rights issue — the strong technical uptrend is disconnected from deeply negative fundamentals.</w:t>
      </w:r>
    </w:p>
    <w:p>
      <w:pPr>
        <w:spacing w:after="140"/>
      </w:pPr>
      <w:r>
        <w:rPr>
          <w:b/>
          <w:bCs/>
          <w:color w:val="A32020"/>
          <w:sz w:val="22"/>
          <w:szCs w:val="22"/>
        </w:rPr>
        <w:t xml:space="preserve">Samkrg Pistons &amp; Rings Ltd</w:t>
      </w:r>
      <w:r>
        <w:rPr>
          <w:sz w:val="20"/>
          <w:szCs w:val="20"/>
        </w:rPr>
        <w:t xml:space="preserve">  —  Weak 5yr growth (5.2%) and ROE (4.9%), fresh 52-week low, independently rated Sell by MarketsMojo.</w:t>
      </w:r>
    </w:p>
    <w:p>
      <w:pPr>
        <w:spacing w:after="140"/>
      </w:pPr>
      <w:r>
        <w:rPr>
          <w:b/>
          <w:bCs/>
          <w:color w:val="A32020"/>
          <w:sz w:val="22"/>
          <w:szCs w:val="22"/>
        </w:rPr>
        <w:t xml:space="preserve">High Energy Batteries (India) Ltd</w:t>
      </w:r>
      <w:r>
        <w:rPr>
          <w:sz w:val="20"/>
          <w:szCs w:val="20"/>
        </w:rPr>
        <w:t xml:space="preserve">  —  Sales collapsed quarter-on-quarter (Rs 29.5 Cr to Rs 7.9 Cr), swinging to a loss; flat-to-negative 3-5yr growth despite a P/E of 37.7x.</w:t>
      </w:r>
    </w:p>
    <w:p>
      <w:pPr>
        <w:spacing w:after="140"/>
      </w:pPr>
      <w:r>
        <w:rPr>
          <w:b/>
          <w:bCs/>
          <w:color w:val="A32020"/>
          <w:sz w:val="22"/>
          <w:szCs w:val="22"/>
        </w:rPr>
        <w:t xml:space="preserve">Vaxfab Enterprises Ltd</w:t>
      </w:r>
      <w:r>
        <w:rPr>
          <w:sz w:val="20"/>
          <w:szCs w:val="20"/>
        </w:rPr>
        <w:t xml:space="preserve">  —  Currently loss-making trading business with very high debtor days (302) despite a +241% 1-year price run well ahead of the fundamentals.</w:t>
      </w:r>
    </w:p>
    <w:p>
      <w:pPr>
        <w:pStyle w:val="Heading1"/>
        <w:spacing w:after="140" w:before="320"/>
      </w:pPr>
      <w:r>
        <w:rPr>
          <w:b/>
          <w:bCs/>
          <w:color w:val="1F4E5F"/>
          <w:sz w:val="30"/>
          <w:szCs w:val="30"/>
        </w:rPr>
        <w:t xml:space="preserve">Watch but Excluded from Ranking</w:t>
      </w:r>
    </w:p>
    <w:p>
      <w:pPr>
        <w:spacing w:after="120"/>
      </w:pPr>
      <w:r>
        <w:t xml:space="preserve">Names researched but excluded from the ranking above — mostly because they are already too large for a genuine 10x-in-2-3-years outcome regardless of business quality. Several are excellent businesses (Laurus Labs, RR Kabel, Anthem Biosciences) — just not sized for this specific screen.</w:t>
      </w:r>
    </w:p>
    <w:p>
      <w:pPr>
        <w:pStyle w:val="Heading2"/>
        <w:spacing w:after="140" w:before="320"/>
      </w:pPr>
      <w:r>
        <w:rPr>
          <w:b/>
          <w:bCs/>
          <w:color w:val="1F4E5F"/>
          <w:sz w:val="26"/>
          <w:szCs w:val="26"/>
        </w:rPr>
        <w:t xml:space="preserve">Too large (already midcap/large-cap/mega-cap)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tcW w:type="dxa" w:w="3200"/>
            <w:shd w:fill="E8E8E8" w:val="clear"/>
          </w:tcPr>
          <w:p>
            <w:r>
              <w:rPr>
                <w:b/>
                <w:bCs/>
              </w:rPr>
              <w:t xml:space="preserve">Name</w:t>
            </w:r>
          </w:p>
        </w:tc>
        <w:tc>
          <w:tcPr>
            <w:tcW w:type="dxa" w:w="1600"/>
            <w:shd w:fill="E8E8E8" w:val="clear"/>
          </w:tcPr>
          <w:p>
            <w:r>
              <w:rPr>
                <w:b/>
                <w:bCs/>
              </w:rPr>
              <w:t xml:space="preserve">Market Cap</w:t>
            </w:r>
          </w:p>
        </w:tc>
        <w:tc>
          <w:tcPr>
            <w:tcW w:type="dxa" w:w="4200"/>
            <w:shd w:fill="E8E8E8" w:val="clear"/>
          </w:tcPr>
          <w:p>
            <w:r>
              <w:rPr>
                <w:b/>
                <w:bCs/>
              </w:rPr>
              <w:t xml:space="preserve">Reason</w:t>
            </w:r>
          </w:p>
        </w:tc>
      </w:tr>
      <w:tr>
        <w:tc>
          <w:tcPr>
            <w:tcW w:type="dxa" w:w="3200"/>
          </w:tcPr>
          <w:p>
            <w:r>
              <w:t xml:space="preserve">Adani Ports &amp; SEZ</w:t>
            </w:r>
          </w:p>
        </w:tc>
        <w:tc>
          <w:tcPr>
            <w:tcW w:type="dxa" w:w="1600"/>
          </w:tcPr>
          <w:p>
            <w:r>
              <w:t xml:space="preserve">~Rs 3.8-4.2 lakh Cr</w:t>
            </w:r>
          </w:p>
        </w:tc>
        <w:tc>
          <w:tcPr>
            <w:tcW w:type="dxa" w:w="4200"/>
          </w:tcPr>
          <w:p>
            <w:r>
              <w:t xml:space="preserve">Mega-cap</w:t>
            </w:r>
          </w:p>
        </w:tc>
      </w:tr>
      <w:tr>
        <w:tc>
          <w:tcPr>
            <w:tcW w:type="dxa" w:w="3200"/>
          </w:tcPr>
          <w:p>
            <w:r>
              <w:t xml:space="preserve">Laurus Labs</w:t>
            </w:r>
          </w:p>
        </w:tc>
        <w:tc>
          <w:tcPr>
            <w:tcW w:type="dxa" w:w="1600"/>
          </w:tcPr>
          <w:p>
            <w:r>
              <w:t xml:space="preserve">~Rs 98,958 Cr</w:t>
            </w:r>
          </w:p>
        </w:tc>
        <w:tc>
          <w:tcPr>
            <w:tcW w:type="dxa" w:w="4200"/>
          </w:tcPr>
          <w:p>
            <w:r>
              <w:t xml:space="preserve">Large-cap; strongest curator conviction in dataset but too large</w:t>
            </w:r>
          </w:p>
        </w:tc>
      </w:tr>
      <w:tr>
        <w:tc>
          <w:tcPr>
            <w:tcW w:type="dxa" w:w="3200"/>
          </w:tcPr>
          <w:p>
            <w:r>
              <w:t xml:space="preserve">Thermax</w:t>
            </w:r>
          </w:p>
        </w:tc>
        <w:tc>
          <w:tcPr>
            <w:tcW w:type="dxa" w:w="1600"/>
          </w:tcPr>
          <w:p>
            <w:r>
              <w:t xml:space="preserve">~Rs 47,710 Cr</w:t>
            </w:r>
          </w:p>
        </w:tc>
        <w:tc>
          <w:tcPr>
            <w:tcW w:type="dxa" w:w="4200"/>
          </w:tcPr>
          <w:p>
            <w:r>
              <w:t xml:space="preserve">Large-cap</w:t>
            </w:r>
          </w:p>
        </w:tc>
      </w:tr>
      <w:tr>
        <w:tc>
          <w:tcPr>
            <w:tcW w:type="dxa" w:w="3200"/>
          </w:tcPr>
          <w:p>
            <w:r>
              <w:t xml:space="preserve">Anthem Biosciences</w:t>
            </w:r>
          </w:p>
        </w:tc>
        <w:tc>
          <w:tcPr>
            <w:tcW w:type="dxa" w:w="1600"/>
          </w:tcPr>
          <w:p>
            <w:r>
              <w:t xml:space="preserve">~Rs 49,276 Cr</w:t>
            </w:r>
          </w:p>
        </w:tc>
        <w:tc>
          <w:tcPr>
            <w:tcW w:type="dxa" w:w="4200"/>
          </w:tcPr>
          <w:p>
            <w:r>
              <w:t xml:space="preserve">Large-cap</w:t>
            </w:r>
          </w:p>
        </w:tc>
      </w:tr>
      <w:tr>
        <w:tc>
          <w:tcPr>
            <w:tcW w:type="dxa" w:w="3200"/>
          </w:tcPr>
          <w:p>
            <w:r>
              <w:t xml:space="preserve">Sona BLW (Sona Comstar)</w:t>
            </w:r>
          </w:p>
        </w:tc>
        <w:tc>
          <w:tcPr>
            <w:tcW w:type="dxa" w:w="1600"/>
          </w:tcPr>
          <w:p>
            <w:r>
              <w:t xml:space="preserve">~Rs 49,482 Cr</w:t>
            </w:r>
          </w:p>
        </w:tc>
        <w:tc>
          <w:tcPr>
            <w:tcW w:type="dxa" w:w="4200"/>
          </w:tcPr>
          <w:p>
            <w:r>
              <w:t xml:space="preserve">Large-cap</w:t>
            </w:r>
          </w:p>
        </w:tc>
      </w:tr>
      <w:tr>
        <w:tc>
          <w:tcPr>
            <w:tcW w:type="dxa" w:w="3200"/>
          </w:tcPr>
          <w:p>
            <w:r>
              <w:t xml:space="preserve">JSW Infrastructure</w:t>
            </w:r>
          </w:p>
        </w:tc>
        <w:tc>
          <w:tcPr>
            <w:tcW w:type="dxa" w:w="1600"/>
          </w:tcPr>
          <w:p>
            <w:r>
              <w:t xml:space="preserve">~Rs 56,584-66,559 Cr</w:t>
            </w:r>
          </w:p>
        </w:tc>
        <w:tc>
          <w:tcPr>
            <w:tcW w:type="dxa" w:w="4200"/>
          </w:tcPr>
          <w:p>
            <w:r>
              <w:t xml:space="preserve">Large-cap</w:t>
            </w:r>
          </w:p>
        </w:tc>
      </w:tr>
      <w:tr>
        <w:tc>
          <w:tcPr>
            <w:tcW w:type="dxa" w:w="3200"/>
          </w:tcPr>
          <w:p>
            <w:r>
              <w:t xml:space="preserve">Apar Industries</w:t>
            </w:r>
          </w:p>
        </w:tc>
        <w:tc>
          <w:tcPr>
            <w:tcW w:type="dxa" w:w="1600"/>
          </w:tcPr>
          <w:p>
            <w:r>
              <w:t xml:space="preserve">~Rs 66,830 Cr</w:t>
            </w:r>
          </w:p>
        </w:tc>
        <w:tc>
          <w:tcPr>
            <w:tcW w:type="dxa" w:w="4200"/>
          </w:tcPr>
          <w:p>
            <w:r>
              <w:t xml:space="preserve">Large-cap</w:t>
            </w:r>
          </w:p>
        </w:tc>
      </w:tr>
      <w:tr>
        <w:tc>
          <w:tcPr>
            <w:tcW w:type="dxa" w:w="3200"/>
          </w:tcPr>
          <w:p>
            <w:r>
              <w:t xml:space="preserve">Ather Energy</w:t>
            </w:r>
          </w:p>
        </w:tc>
        <w:tc>
          <w:tcPr>
            <w:tcW w:type="dxa" w:w="1600"/>
          </w:tcPr>
          <w:p>
            <w:r>
              <w:t xml:space="preserve">~Rs 60,219 Cr</w:t>
            </w:r>
          </w:p>
        </w:tc>
        <w:tc>
          <w:tcPr>
            <w:tcW w:type="dxa" w:w="4200"/>
          </w:tcPr>
          <w:p>
            <w:r>
              <w:t xml:space="preserve">Large-cap; still loss-making</w:t>
            </w:r>
          </w:p>
        </w:tc>
      </w:tr>
      <w:tr>
        <w:tc>
          <w:tcPr>
            <w:tcW w:type="dxa" w:w="3200"/>
          </w:tcPr>
          <w:p>
            <w:r>
              <w:t xml:space="preserve">Sai Life Sciences</w:t>
            </w:r>
          </w:p>
        </w:tc>
        <w:tc>
          <w:tcPr>
            <w:tcW w:type="dxa" w:w="1600"/>
          </w:tcPr>
          <w:p>
            <w:r>
              <w:t xml:space="preserve">~Rs 25,700-30,600 Cr</w:t>
            </w:r>
          </w:p>
        </w:tc>
        <w:tc>
          <w:tcPr>
            <w:tcW w:type="dxa" w:w="4200"/>
          </w:tcPr>
          <w:p>
            <w:r>
              <w:t xml:space="preserve">Large-cap</w:t>
            </w:r>
          </w:p>
        </w:tc>
      </w:tr>
      <w:tr>
        <w:tc>
          <w:tcPr>
            <w:tcW w:type="dxa" w:w="3200"/>
          </w:tcPr>
          <w:p>
            <w:r>
              <w:t xml:space="preserve">Sansera Engineering</w:t>
            </w:r>
          </w:p>
        </w:tc>
        <w:tc>
          <w:tcPr>
            <w:tcW w:type="dxa" w:w="1600"/>
          </w:tcPr>
          <w:p>
            <w:r>
              <w:t xml:space="preserve">~Rs 20,523-24,289 Cr</w:t>
            </w:r>
          </w:p>
        </w:tc>
        <w:tc>
          <w:tcPr>
            <w:tcW w:type="dxa" w:w="4200"/>
          </w:tcPr>
          <w:p>
            <w:r>
              <w:t xml:space="preserve">Large-cap</w:t>
            </w:r>
          </w:p>
        </w:tc>
      </w:tr>
      <w:tr>
        <w:tc>
          <w:tcPr>
            <w:tcW w:type="dxa" w:w="3200"/>
          </w:tcPr>
          <w:p>
            <w:r>
              <w:t xml:space="preserve">Azad Engineering</w:t>
            </w:r>
          </w:p>
        </w:tc>
        <w:tc>
          <w:tcPr>
            <w:tcW w:type="dxa" w:w="1600"/>
          </w:tcPr>
          <w:p>
            <w:r>
              <w:t xml:space="preserve">~Rs 17,573 Cr</w:t>
            </w:r>
          </w:p>
        </w:tc>
        <w:tc>
          <w:tcPr>
            <w:tcW w:type="dxa" w:w="4200"/>
          </w:tcPr>
          <w:p>
            <w:r>
              <w:t xml:space="preserve">Large-cap; excellent catalysts already largely re-rated</w:t>
            </w:r>
          </w:p>
        </w:tc>
      </w:tr>
      <w:tr>
        <w:tc>
          <w:tcPr>
            <w:tcW w:type="dxa" w:w="3200"/>
          </w:tcPr>
          <w:p>
            <w:r>
              <w:t xml:space="preserve">MTAR Technologies</w:t>
            </w:r>
          </w:p>
        </w:tc>
        <w:tc>
          <w:tcPr>
            <w:tcW w:type="dxa" w:w="1600"/>
          </w:tcPr>
          <w:p>
            <w:r>
              <w:t xml:space="preserve">~Rs 21,839 Cr</w:t>
            </w:r>
          </w:p>
        </w:tc>
        <w:tc>
          <w:tcPr>
            <w:tcW w:type="dxa" w:w="4200"/>
          </w:tcPr>
          <w:p>
            <w:r>
              <w:t xml:space="preserve">Large-cap</w:t>
            </w:r>
          </w:p>
        </w:tc>
      </w:tr>
      <w:tr>
        <w:tc>
          <w:tcPr>
            <w:tcW w:type="dxa" w:w="3200"/>
          </w:tcPr>
          <w:p>
            <w:r>
              <w:t xml:space="preserve">Cemindia Projects (ITD Cementation)</w:t>
            </w:r>
          </w:p>
        </w:tc>
        <w:tc>
          <w:tcPr>
            <w:tcW w:type="dxa" w:w="1600"/>
          </w:tcPr>
          <w:p>
            <w:r>
              <w:t xml:space="preserve">~Rs 20,500-20,754 Cr</w:t>
            </w:r>
          </w:p>
        </w:tc>
        <w:tc>
          <w:tcPr>
            <w:tcW w:type="dxa" w:w="4200"/>
          </w:tcPr>
          <w:p>
            <w:r>
              <w:t xml:space="preserve">Large-cap, Adani-controlled</w:t>
            </w:r>
          </w:p>
        </w:tc>
      </w:tr>
      <w:tr>
        <w:tc>
          <w:tcPr>
            <w:tcW w:type="dxa" w:w="3200"/>
          </w:tcPr>
          <w:p>
            <w:r>
              <w:t xml:space="preserve">Aether Industries</w:t>
            </w:r>
          </w:p>
        </w:tc>
        <w:tc>
          <w:tcPr>
            <w:tcW w:type="dxa" w:w="1600"/>
          </w:tcPr>
          <w:p>
            <w:r>
              <w:t xml:space="preserve">~Rs 21,559 Cr</w:t>
            </w:r>
          </w:p>
        </w:tc>
        <w:tc>
          <w:tcPr>
            <w:tcW w:type="dxa" w:w="4200"/>
          </w:tcPr>
          <w:p>
            <w:r>
              <w:t xml:space="preserve">Large-cap</w:t>
            </w:r>
          </w:p>
        </w:tc>
      </w:tr>
      <w:tr>
        <w:tc>
          <w:tcPr>
            <w:tcW w:type="dxa" w:w="3200"/>
          </w:tcPr>
          <w:p>
            <w:r>
              <w:t xml:space="preserve">Timken India</w:t>
            </w:r>
          </w:p>
        </w:tc>
        <w:tc>
          <w:tcPr>
            <w:tcW w:type="dxa" w:w="1600"/>
          </w:tcPr>
          <w:p>
            <w:r>
              <w:t xml:space="preserve">~Rs 24,684-26,573 Cr</w:t>
            </w:r>
          </w:p>
        </w:tc>
        <w:tc>
          <w:tcPr>
            <w:tcW w:type="dxa" w:w="4200"/>
          </w:tcPr>
          <w:p>
            <w:r>
              <w:t xml:space="preserve">Large-cap</w:t>
            </w:r>
          </w:p>
        </w:tc>
      </w:tr>
      <w:tr>
        <w:tc>
          <w:tcPr>
            <w:tcW w:type="dxa" w:w="3200"/>
          </w:tcPr>
          <w:p>
            <w:r>
              <w:t xml:space="preserve">Concord Biotech</w:t>
            </w:r>
          </w:p>
        </w:tc>
        <w:tc>
          <w:tcPr>
            <w:tcW w:type="dxa" w:w="1600"/>
          </w:tcPr>
          <w:p>
            <w:r>
              <w:t xml:space="preserve">~Rs 15,114 Cr</w:t>
            </w:r>
          </w:p>
        </w:tc>
        <w:tc>
          <w:tcPr>
            <w:tcW w:type="dxa" w:w="4200"/>
          </w:tcPr>
          <w:p>
            <w:r>
              <w:t xml:space="preserve">Large-cap; curator's own disclosed holding</w:t>
            </w:r>
          </w:p>
        </w:tc>
      </w:tr>
      <w:tr>
        <w:tc>
          <w:tcPr>
            <w:tcW w:type="dxa" w:w="3200"/>
          </w:tcPr>
          <w:p>
            <w:r>
              <w:t xml:space="preserve">Sedemac Mechatronics</w:t>
            </w:r>
          </w:p>
        </w:tc>
        <w:tc>
          <w:tcPr>
            <w:tcW w:type="dxa" w:w="1600"/>
          </w:tcPr>
          <w:p>
            <w:r>
              <w:t xml:space="preserve">~Rs 13,492 Cr</w:t>
            </w:r>
          </w:p>
        </w:tc>
        <w:tc>
          <w:tcPr>
            <w:tcW w:type="dxa" w:w="4200"/>
          </w:tcPr>
          <w:p>
            <w:r>
              <w:t xml:space="preserve">Large-cap even at IPO</w:t>
            </w:r>
          </w:p>
        </w:tc>
      </w:tr>
      <w:tr>
        <w:tc>
          <w:tcPr>
            <w:tcW w:type="dxa" w:w="3200"/>
          </w:tcPr>
          <w:p>
            <w:r>
              <w:t xml:space="preserve">Ramkrishna Forgings</w:t>
            </w:r>
          </w:p>
        </w:tc>
        <w:tc>
          <w:tcPr>
            <w:tcW w:type="dxa" w:w="1600"/>
          </w:tcPr>
          <w:p>
            <w:r>
              <w:t xml:space="preserve">~Rs 13,500 Cr</w:t>
            </w:r>
          </w:p>
        </w:tc>
        <w:tc>
          <w:tcPr>
            <w:tcW w:type="dxa" w:w="4200"/>
          </w:tcPr>
          <w:p>
            <w:r>
              <w:t xml:space="preserve">Large-cap, weak current ROCE/ROE</w:t>
            </w:r>
          </w:p>
        </w:tc>
      </w:tr>
      <w:tr>
        <w:tc>
          <w:tcPr>
            <w:tcW w:type="dxa" w:w="3200"/>
          </w:tcPr>
          <w:p>
            <w:r>
              <w:t xml:space="preserve">Oracle Financial Services Software</w:t>
            </w:r>
          </w:p>
        </w:tc>
        <w:tc>
          <w:tcPr>
            <w:tcW w:type="dxa" w:w="1600"/>
          </w:tcPr>
          <w:p>
            <w:r>
              <w:t xml:space="preserve">~Rs 1,02,793 Cr</w:t>
            </w:r>
          </w:p>
        </w:tc>
        <w:tc>
          <w:tcPr>
            <w:tcW w:type="dxa" w:w="4200"/>
          </w:tcPr>
          <w:p>
            <w:r>
              <w:t xml:space="preserve">Large-cap</w:t>
            </w:r>
          </w:p>
        </w:tc>
      </w:tr>
      <w:tr>
        <w:tc>
          <w:tcPr>
            <w:tcW w:type="dxa" w:w="3200"/>
          </w:tcPr>
          <w:p>
            <w:r>
              <w:t xml:space="preserve">Jupiter Wagons</w:t>
            </w:r>
          </w:p>
        </w:tc>
        <w:tc>
          <w:tcPr>
            <w:tcW w:type="dxa" w:w="1600"/>
          </w:tcPr>
          <w:p>
            <w:r>
              <w:t xml:space="preserve">~Rs 12,426 Cr</w:t>
            </w:r>
          </w:p>
        </w:tc>
        <w:tc>
          <w:tcPr>
            <w:tcW w:type="dxa" w:w="4200"/>
          </w:tcPr>
          <w:p>
            <w:r>
              <w:t xml:space="preserve">Large-cap; cited only as historical timing example</w:t>
            </w:r>
          </w:p>
        </w:tc>
      </w:tr>
      <w:tr>
        <w:tc>
          <w:tcPr>
            <w:tcW w:type="dxa" w:w="3200"/>
          </w:tcPr>
          <w:p>
            <w:r>
              <w:t xml:space="preserve">Shriram Pistons (SPR Auto Technologies)</w:t>
            </w:r>
          </w:p>
        </w:tc>
        <w:tc>
          <w:tcPr>
            <w:tcW w:type="dxa" w:w="1600"/>
          </w:tcPr>
          <w:p>
            <w:r>
              <w:t xml:space="preserve">~Rs 19,485-19,845 Cr</w:t>
            </w:r>
          </w:p>
        </w:tc>
        <w:tc>
          <w:tcPr>
            <w:tcW w:type="dxa" w:w="4200"/>
          </w:tcPr>
          <w:p>
            <w:r>
              <w:t xml:space="preserve">Large-cap</w:t>
            </w:r>
          </w:p>
        </w:tc>
      </w:tr>
      <w:tr>
        <w:tc>
          <w:tcPr>
            <w:tcW w:type="dxa" w:w="3200"/>
          </w:tcPr>
          <w:p>
            <w:r>
              <w:t xml:space="preserve">TVS Holdings</w:t>
            </w:r>
          </w:p>
        </w:tc>
        <w:tc>
          <w:tcPr>
            <w:tcW w:type="dxa" w:w="1600"/>
          </w:tcPr>
          <w:p>
            <w:r>
              <w:t xml:space="preserve">~Rs 29,401 Cr</w:t>
            </w:r>
          </w:p>
        </w:tc>
        <w:tc>
          <w:tcPr>
            <w:tcW w:type="dxa" w:w="4200"/>
          </w:tcPr>
          <w:p>
            <w:r>
              <w:t xml:space="preserve">Large-cap holdco</w:t>
            </w:r>
          </w:p>
        </w:tc>
      </w:tr>
      <w:tr>
        <w:tc>
          <w:tcPr>
            <w:tcW w:type="dxa" w:w="3200"/>
          </w:tcPr>
          <w:p>
            <w:r>
              <w:t xml:space="preserve">RR Kabel</w:t>
            </w:r>
          </w:p>
        </w:tc>
        <w:tc>
          <w:tcPr>
            <w:tcW w:type="dxa" w:w="1600"/>
          </w:tcPr>
          <w:p>
            <w:r>
              <w:t xml:space="preserve">~Rs 31,552 Cr</w:t>
            </w:r>
          </w:p>
        </w:tc>
        <w:tc>
          <w:tcPr>
            <w:tcW w:type="dxa" w:w="4200"/>
          </w:tcPr>
          <w:p>
            <w:r>
              <w:t xml:space="preserve">Large-cap; top-tier quality business</w:t>
            </w:r>
          </w:p>
        </w:tc>
      </w:tr>
      <w:tr>
        <w:tc>
          <w:tcPr>
            <w:tcW w:type="dxa" w:w="3200"/>
          </w:tcPr>
          <w:p>
            <w:r>
              <w:t xml:space="preserve">Entero Healthcare Solutions</w:t>
            </w:r>
          </w:p>
        </w:tc>
        <w:tc>
          <w:tcPr>
            <w:tcW w:type="dxa" w:w="1600"/>
          </w:tcPr>
          <w:p>
            <w:r>
              <w:t xml:space="preserve">~Rs 6,210 Cr</w:t>
            </w:r>
          </w:p>
        </w:tc>
        <w:tc>
          <w:tcPr>
            <w:tcW w:type="dxa" w:w="4200"/>
          </w:tcPr>
          <w:p>
            <w:r>
              <w:t xml:space="preserve">Upper-midcap; curator's own size preference is &lt;Rs 1,000 Cr</w:t>
            </w:r>
          </w:p>
        </w:tc>
      </w:tr>
      <w:tr>
        <w:tc>
          <w:tcPr>
            <w:tcW w:type="dxa" w:w="3200"/>
          </w:tcPr>
          <w:p>
            <w:r>
              <w:t xml:space="preserve">Gravita India</w:t>
            </w:r>
          </w:p>
        </w:tc>
        <w:tc>
          <w:tcPr>
            <w:tcW w:type="dxa" w:w="1600"/>
          </w:tcPr>
          <w:p>
            <w:r>
              <w:t xml:space="preserve">~Rs 13,380-13,438 Cr</w:t>
            </w:r>
          </w:p>
        </w:tc>
        <w:tc>
          <w:tcPr>
            <w:tcW w:type="dxa" w:w="4200"/>
          </w:tcPr>
          <w:p>
            <w:r>
              <w:t xml:space="preserve">Large-cap</w:t>
            </w:r>
          </w:p>
        </w:tc>
      </w:tr>
      <w:tr>
        <w:tc>
          <w:tcPr>
            <w:tcW w:type="dxa" w:w="3200"/>
          </w:tcPr>
          <w:p>
            <w:r>
              <w:t xml:space="preserve">Quality Power Electrical Equipments</w:t>
            </w:r>
          </w:p>
        </w:tc>
        <w:tc>
          <w:tcPr>
            <w:tcW w:type="dxa" w:w="1600"/>
          </w:tcPr>
          <w:p>
            <w:r>
              <w:t xml:space="preserve">~Rs 9,806-10,531 Cr</w:t>
            </w:r>
          </w:p>
        </w:tc>
        <w:tc>
          <w:tcPr>
            <w:tcW w:type="dxa" w:w="4200"/>
          </w:tcPr>
          <w:p>
            <w:r>
              <w:t xml:space="preserve">Upper-midcap</w:t>
            </w:r>
          </w:p>
        </w:tc>
      </w:tr>
      <w:tr>
        <w:tc>
          <w:tcPr>
            <w:tcW w:type="dxa" w:w="3200"/>
          </w:tcPr>
          <w:p>
            <w:r>
              <w:t xml:space="preserve">NRB Bearings</w:t>
            </w:r>
          </w:p>
        </w:tc>
        <w:tc>
          <w:tcPr>
            <w:tcW w:type="dxa" w:w="1600"/>
          </w:tcPr>
          <w:p>
            <w:r>
              <w:t xml:space="preserve">~Rs 4,474-4,509 Cr</w:t>
            </w:r>
          </w:p>
        </w:tc>
        <w:tc>
          <w:tcPr>
            <w:tcW w:type="dxa" w:w="4200"/>
          </w:tcPr>
          <w:p>
            <w:r>
              <w:t xml:space="preserve">Upper-midcap</w:t>
            </w:r>
          </w:p>
        </w:tc>
      </w:tr>
      <w:tr>
        <w:tc>
          <w:tcPr>
            <w:tcW w:type="dxa" w:w="3200"/>
          </w:tcPr>
          <w:p>
            <w:r>
              <w:t xml:space="preserve">Shivalik Bimetal Controls</w:t>
            </w:r>
          </w:p>
        </w:tc>
        <w:tc>
          <w:tcPr>
            <w:tcW w:type="dxa" w:w="1600"/>
          </w:tcPr>
          <w:p>
            <w:r>
              <w:t xml:space="preserve">~Rs 5,995 Cr</w:t>
            </w:r>
          </w:p>
        </w:tc>
        <w:tc>
          <w:tcPr>
            <w:tcW w:type="dxa" w:w="4200"/>
          </w:tcPr>
          <w:p>
            <w:r>
              <w:t xml:space="preserve">Upper-midcap; excellent quality, at all-time high</w:t>
            </w:r>
          </w:p>
        </w:tc>
      </w:tr>
      <w:tr>
        <w:tc>
          <w:tcPr>
            <w:tcW w:type="dxa" w:w="3200"/>
          </w:tcPr>
          <w:p>
            <w:r>
              <w:t xml:space="preserve">Pricol</w:t>
            </w:r>
          </w:p>
        </w:tc>
        <w:tc>
          <w:tcPr>
            <w:tcW w:type="dxa" w:w="1600"/>
          </w:tcPr>
          <w:p>
            <w:r>
              <w:t xml:space="preserve">~Rs 9,325 Cr</w:t>
            </w:r>
          </w:p>
        </w:tc>
        <w:tc>
          <w:tcPr>
            <w:tcW w:type="dxa" w:w="4200"/>
          </w:tcPr>
          <w:p>
            <w:r>
              <w:t xml:space="preserve">Large-cap; real demerger catalyst</w:t>
            </w:r>
          </w:p>
        </w:tc>
      </w:tr>
      <w:tr>
        <w:tc>
          <w:tcPr>
            <w:tcW w:type="dxa" w:w="3200"/>
          </w:tcPr>
          <w:p>
            <w:r>
              <w:t xml:space="preserve">Schloss Bangalore (The Leela)</w:t>
            </w:r>
          </w:p>
        </w:tc>
        <w:tc>
          <w:tcPr>
            <w:tcW w:type="dxa" w:w="1600"/>
          </w:tcPr>
          <w:p>
            <w:r>
              <w:t xml:space="preserve">~Rs 16,970 Cr</w:t>
            </w:r>
          </w:p>
        </w:tc>
        <w:tc>
          <w:tcPr>
            <w:tcW w:type="dxa" w:w="4200"/>
          </w:tcPr>
          <w:p>
            <w:r>
              <w:t xml:space="preserve">Large-cap</w:t>
            </w:r>
          </w:p>
        </w:tc>
      </w:tr>
      <w:tr>
        <w:tc>
          <w:tcPr>
            <w:tcW w:type="dxa" w:w="3200"/>
          </w:tcPr>
          <w:p>
            <w:r>
              <w:t xml:space="preserve">Manorama Industries</w:t>
            </w:r>
          </w:p>
        </w:tc>
        <w:tc>
          <w:tcPr>
            <w:tcW w:type="dxa" w:w="1600"/>
          </w:tcPr>
          <w:p>
            <w:r>
              <w:t xml:space="preserve">~Rs 11,160 Cr</w:t>
            </w:r>
          </w:p>
        </w:tc>
        <w:tc>
          <w:tcPr>
            <w:tcW w:type="dxa" w:w="4200"/>
          </w:tcPr>
          <w:p>
            <w:r>
              <w:t xml:space="preserve">Large-cap; own 5yr target implies ~3.4x not 10x</w:t>
            </w:r>
          </w:p>
        </w:tc>
      </w:tr>
      <w:tr>
        <w:tc>
          <w:tcPr>
            <w:tcW w:type="dxa" w:w="3200"/>
          </w:tcPr>
          <w:p>
            <w:r>
              <w:t xml:space="preserve">Yasho Industries</w:t>
            </w:r>
          </w:p>
        </w:tc>
        <w:tc>
          <w:tcPr>
            <w:tcW w:type="dxa" w:w="1600"/>
          </w:tcPr>
          <w:p>
            <w:r>
              <w:t xml:space="preserve">~Rs 5,083 Cr</w:t>
            </w:r>
          </w:p>
        </w:tc>
        <w:tc>
          <w:tcPr>
            <w:tcW w:type="dxa" w:w="4200"/>
          </w:tcPr>
          <w:p>
            <w:r>
              <w:t xml:space="preserve">Upper-midcap; stretched valuation</w:t>
            </w:r>
          </w:p>
        </w:tc>
      </w:tr>
      <w:tr>
        <w:tc>
          <w:tcPr>
            <w:tcW w:type="dxa" w:w="3200"/>
          </w:tcPr>
          <w:p>
            <w:r>
              <w:t xml:space="preserve">Balaji Amines</w:t>
            </w:r>
          </w:p>
        </w:tc>
        <w:tc>
          <w:tcPr>
            <w:tcW w:type="dxa" w:w="1600"/>
          </w:tcPr>
          <w:p>
            <w:r>
              <w:t xml:space="preserve">~Rs 6,772 Cr</w:t>
            </w:r>
          </w:p>
        </w:tc>
        <w:tc>
          <w:tcPr>
            <w:tcW w:type="dxa" w:w="4200"/>
          </w:tcPr>
          <w:p>
            <w:r>
              <w:t xml:space="preserve">Upper-midcap; genuine DME first-mover catalyst</w:t>
            </w:r>
          </w:p>
        </w:tc>
      </w:tr>
      <w:tr>
        <w:tc>
          <w:tcPr>
            <w:tcW w:type="dxa" w:w="3200"/>
          </w:tcPr>
          <w:p>
            <w:r>
              <w:t xml:space="preserve">Tips Music</w:t>
            </w:r>
          </w:p>
        </w:tc>
        <w:tc>
          <w:tcPr>
            <w:tcW w:type="dxa" w:w="1600"/>
          </w:tcPr>
          <w:p>
            <w:r>
              <w:t xml:space="preserve">~Rs 8,590 Cr</w:t>
            </w:r>
          </w:p>
        </w:tc>
        <w:tc>
          <w:tcPr>
            <w:tcW w:type="dxa" w:w="4200"/>
          </w:tcPr>
          <w:p>
            <w:r>
              <w:t xml:space="preserve">Upper-midcap; exceptional ROE 83.2%</w:t>
            </w:r>
          </w:p>
        </w:tc>
      </w:tr>
      <w:tr>
        <w:tc>
          <w:tcPr>
            <w:tcW w:type="dxa" w:w="3200"/>
          </w:tcPr>
          <w:p>
            <w:r>
              <w:t xml:space="preserve">Saregama India</w:t>
            </w:r>
          </w:p>
        </w:tc>
        <w:tc>
          <w:tcPr>
            <w:tcW w:type="dxa" w:w="1600"/>
          </w:tcPr>
          <w:p>
            <w:r>
              <w:t xml:space="preserve">~Rs 10,202 Cr</w:t>
            </w:r>
          </w:p>
        </w:tc>
        <w:tc>
          <w:tcPr>
            <w:tcW w:type="dxa" w:w="4200"/>
          </w:tcPr>
          <w:p>
            <w:r>
              <w:t xml:space="preserve">Large-cap</w:t>
            </w:r>
          </w:p>
        </w:tc>
      </w:tr>
      <w:tr>
        <w:tc>
          <w:tcPr>
            <w:tcW w:type="dxa" w:w="3200"/>
          </w:tcPr>
          <w:p>
            <w:r>
              <w:t xml:space="preserve">Waaree Renewable Technologies</w:t>
            </w:r>
          </w:p>
        </w:tc>
        <w:tc>
          <w:tcPr>
            <w:tcW w:type="dxa" w:w="1600"/>
          </w:tcPr>
          <w:p>
            <w:r>
              <w:t xml:space="preserve">~Rs 9,506 Cr</w:t>
            </w:r>
          </w:p>
        </w:tc>
        <w:tc>
          <w:tcPr>
            <w:tcW w:type="dxa" w:w="4200"/>
          </w:tcPr>
          <w:p>
            <w:r>
              <w:t xml:space="preserve">Upper-midcap; exceptional ROE/ROCE</w:t>
            </w:r>
          </w:p>
        </w:tc>
      </w:tr>
      <w:tr>
        <w:tc>
          <w:tcPr>
            <w:tcW w:type="dxa" w:w="3200"/>
          </w:tcPr>
          <w:p>
            <w:r>
              <w:t xml:space="preserve">Stylam Industries</w:t>
            </w:r>
          </w:p>
        </w:tc>
        <w:tc>
          <w:tcPr>
            <w:tcW w:type="dxa" w:w="1600"/>
          </w:tcPr>
          <w:p>
            <w:r>
              <w:t xml:space="preserve">~Rs 6,008 Cr</w:t>
            </w:r>
          </w:p>
        </w:tc>
        <w:tc>
          <w:tcPr>
            <w:tcW w:type="dxa" w:w="4200"/>
          </w:tcPr>
          <w:p>
            <w:r>
              <w:t xml:space="preserve">Midcap; market-leading laminate maker</w:t>
            </w:r>
          </w:p>
        </w:tc>
      </w:tr>
      <w:tr>
        <w:tc>
          <w:tcPr>
            <w:tcW w:type="dxa" w:w="3200"/>
          </w:tcPr>
          <w:p>
            <w:r>
              <w:t xml:space="preserve">Intellect Design Arena</w:t>
            </w:r>
          </w:p>
        </w:tc>
        <w:tc>
          <w:tcPr>
            <w:tcW w:type="dxa" w:w="1600"/>
          </w:tcPr>
          <w:p>
            <w:r>
              <w:t xml:space="preserve">~Rs 9,800-10,450 Cr</w:t>
            </w:r>
          </w:p>
        </w:tc>
        <w:tc>
          <w:tcPr>
            <w:tcW w:type="dxa" w:w="4200"/>
          </w:tcPr>
          <w:p>
            <w:r>
              <w:t xml:space="preserve">Upper-midcap, down-trending</w:t>
            </w:r>
          </w:p>
        </w:tc>
      </w:tr>
      <w:tr>
        <w:tc>
          <w:tcPr>
            <w:tcW w:type="dxa" w:w="3200"/>
          </w:tcPr>
          <w:p>
            <w:r>
              <w:t xml:space="preserve">Eureka Forbes</w:t>
            </w:r>
          </w:p>
        </w:tc>
        <w:tc>
          <w:tcPr>
            <w:tcW w:type="dxa" w:w="1600"/>
          </w:tcPr>
          <w:p>
            <w:r>
              <w:t xml:space="preserve">~Rs 8,571 Cr</w:t>
            </w:r>
          </w:p>
        </w:tc>
        <w:tc>
          <w:tcPr>
            <w:tcW w:type="dxa" w:w="4200"/>
          </w:tcPr>
          <w:p>
            <w:r>
              <w:t xml:space="preserve">Upper-midcap, down-trending</w:t>
            </w:r>
          </w:p>
        </w:tc>
      </w:tr>
      <w:tr>
        <w:tc>
          <w:tcPr>
            <w:tcW w:type="dxa" w:w="3200"/>
          </w:tcPr>
          <w:p>
            <w:r>
              <w:t xml:space="preserve">PDS Limited</w:t>
            </w:r>
          </w:p>
        </w:tc>
        <w:tc>
          <w:tcPr>
            <w:tcW w:type="dxa" w:w="1600"/>
          </w:tcPr>
          <w:p>
            <w:r>
              <w:t xml:space="preserve">~Rs 5,248 Cr</w:t>
            </w:r>
          </w:p>
        </w:tc>
        <w:tc>
          <w:tcPr>
            <w:tcW w:type="dxa" w:w="4200"/>
          </w:tcPr>
          <w:p>
            <w:r>
              <w:t xml:space="preserve">Upper-midcap</w:t>
            </w:r>
          </w:p>
        </w:tc>
      </w:tr>
      <w:tr>
        <w:tc>
          <w:tcPr>
            <w:tcW w:type="dxa" w:w="3200"/>
          </w:tcPr>
          <w:p>
            <w:r>
              <w:t xml:space="preserve">Sambhv Steel Tubes</w:t>
            </w:r>
          </w:p>
        </w:tc>
        <w:tc>
          <w:tcPr>
            <w:tcW w:type="dxa" w:w="1600"/>
          </w:tcPr>
          <w:p>
            <w:r>
              <w:t xml:space="preserve">~Rs 3,474-3,818 Cr</w:t>
            </w:r>
          </w:p>
        </w:tc>
        <w:tc>
          <w:tcPr>
            <w:tcW w:type="dxa" w:w="4200"/>
          </w:tcPr>
          <w:p>
            <w:r>
              <w:t xml:space="preserve">Borderline; solid fundamentals but at size ceiling</w:t>
            </w:r>
          </w:p>
        </w:tc>
      </w:tr>
      <w:tr>
        <w:tc>
          <w:tcPr>
            <w:tcW w:type="dxa" w:w="3200"/>
          </w:tcPr>
          <w:p>
            <w:r>
              <w:t xml:space="preserve">Cohance Lifesciences</w:t>
            </w:r>
          </w:p>
        </w:tc>
        <w:tc>
          <w:tcPr>
            <w:tcW w:type="dxa" w:w="1600"/>
          </w:tcPr>
          <w:p>
            <w:r>
              <w:t xml:space="preserve">~Rs 16,988 Cr</w:t>
            </w:r>
          </w:p>
        </w:tc>
        <w:tc>
          <w:tcPr>
            <w:tcW w:type="dxa" w:w="4200"/>
          </w:tcPr>
          <w:p>
            <w:r>
              <w:t xml:space="preserve">Large-cap, deteriorating fundamentals</w:t>
            </w:r>
          </w:p>
        </w:tc>
      </w:tr>
      <w:tr>
        <w:tc>
          <w:tcPr>
            <w:tcW w:type="dxa" w:w="3200"/>
          </w:tcPr>
          <w:p>
            <w:r>
              <w:t xml:space="preserve">Viyash Scientific</w:t>
            </w:r>
          </w:p>
        </w:tc>
        <w:tc>
          <w:tcPr>
            <w:tcW w:type="dxa" w:w="1600"/>
          </w:tcPr>
          <w:p>
            <w:r>
              <w:t xml:space="preserve">~Rs 11,955-12,160 Cr</w:t>
            </w:r>
          </w:p>
        </w:tc>
        <w:tc>
          <w:tcPr>
            <w:tcW w:type="dxa" w:w="4200"/>
          </w:tcPr>
          <w:p>
            <w:r>
              <w:t xml:space="preserve">Large-cap</w:t>
            </w:r>
          </w:p>
        </w:tc>
      </w:tr>
      <w:tr>
        <w:tc>
          <w:tcPr>
            <w:tcW w:type="dxa" w:w="3200"/>
          </w:tcPr>
          <w:p>
            <w:r>
              <w:t xml:space="preserve">Axiscades Technologies</w:t>
            </w:r>
          </w:p>
        </w:tc>
        <w:tc>
          <w:tcPr>
            <w:tcW w:type="dxa" w:w="1600"/>
          </w:tcPr>
          <w:p>
            <w:r>
              <w:t xml:space="preserve">~Rs 6,537 Cr</w:t>
            </w:r>
          </w:p>
        </w:tc>
        <w:tc>
          <w:tcPr>
            <w:tcW w:type="dxa" w:w="4200"/>
          </w:tcPr>
          <w:p>
            <w:r>
              <w:t xml:space="preserve">Upper-midcap; self-acknowledged weak recent results</w:t>
            </w:r>
          </w:p>
        </w:tc>
      </w:tr>
      <w:tr>
        <w:tc>
          <w:tcPr>
            <w:tcW w:type="dxa" w:w="3200"/>
          </w:tcPr>
          <w:p>
            <w:r>
              <w:t xml:space="preserve">Gufic Biosciences</w:t>
            </w:r>
          </w:p>
        </w:tc>
        <w:tc>
          <w:tcPr>
            <w:tcW w:type="dxa" w:w="1600"/>
          </w:tcPr>
          <w:p>
            <w:r>
              <w:t xml:space="preserve">~Rs 4,308 Cr</w:t>
            </w:r>
          </w:p>
        </w:tc>
        <w:tc>
          <w:tcPr>
            <w:tcW w:type="dxa" w:w="4200"/>
          </w:tcPr>
          <w:p>
            <w:r>
              <w:t xml:space="preserve">Lower-midcap, moderate returns</w:t>
            </w:r>
          </w:p>
        </w:tc>
      </w:tr>
      <w:tr>
        <w:tc>
          <w:tcPr>
            <w:tcW w:type="dxa" w:w="3200"/>
          </w:tcPr>
          <w:p>
            <w:r>
              <w:t xml:space="preserve">Edelweiss Financial Services</w:t>
            </w:r>
          </w:p>
        </w:tc>
        <w:tc>
          <w:tcPr>
            <w:tcW w:type="dxa" w:w="1600"/>
          </w:tcPr>
          <w:p>
            <w:r>
              <w:t xml:space="preserve">~Rs 11,228-11,406 Cr</w:t>
            </w:r>
          </w:p>
        </w:tc>
        <w:tc>
          <w:tcPr>
            <w:tcW w:type="dxa" w:w="4200"/>
          </w:tcPr>
          <w:p>
            <w:r>
              <w:t xml:space="preserve">Large-cap</w:t>
            </w:r>
          </w:p>
        </w:tc>
      </w:tr>
      <w:tr>
        <w:tc>
          <w:tcPr>
            <w:tcW w:type="dxa" w:w="3200"/>
          </w:tcPr>
          <w:p>
            <w:r>
              <w:t xml:space="preserve">Neogen Chemicals</w:t>
            </w:r>
          </w:p>
        </w:tc>
        <w:tc>
          <w:tcPr>
            <w:tcW w:type="dxa" w:w="1600"/>
          </w:tcPr>
          <w:p>
            <w:r>
              <w:t xml:space="preserve">~Rs 5,648-5,856 Cr</w:t>
            </w:r>
          </w:p>
        </w:tc>
        <w:tc>
          <w:tcPr>
            <w:tcW w:type="dxa" w:w="4200"/>
          </w:tcPr>
          <w:p>
            <w:r>
              <w:t xml:space="preserve">Upper-midcap, thin margins</w:t>
            </w:r>
          </w:p>
        </w:tc>
      </w:tr>
      <w:tr>
        <w:tc>
          <w:tcPr>
            <w:tcW w:type="dxa" w:w="3200"/>
          </w:tcPr>
          <w:p>
            <w:r>
              <w:t xml:space="preserve">Orchid Pharma</w:t>
            </w:r>
          </w:p>
        </w:tc>
        <w:tc>
          <w:tcPr>
            <w:tcW w:type="dxa" w:w="1600"/>
          </w:tcPr>
          <w:p>
            <w:r>
              <w:t xml:space="preserve">~Rs 10,257 Cr</w:t>
            </w:r>
          </w:p>
        </w:tc>
        <w:tc>
          <w:tcPr>
            <w:tcW w:type="dxa" w:w="4200"/>
          </w:tcPr>
          <w:p>
            <w:r>
              <w:t xml:space="preserve">Large-cap</w:t>
            </w:r>
          </w:p>
        </w:tc>
      </w:tr>
      <w:tr>
        <w:tc>
          <w:tcPr>
            <w:tcW w:type="dxa" w:w="3200"/>
          </w:tcPr>
          <w:p>
            <w:r>
              <w:t xml:space="preserve">Raymond Lifestyle</w:t>
            </w:r>
          </w:p>
        </w:tc>
        <w:tc>
          <w:tcPr>
            <w:tcW w:type="dxa" w:w="1600"/>
          </w:tcPr>
          <w:p>
            <w:r>
              <w:t xml:space="preserve">~Rs 4,323-4,795 Cr</w:t>
            </w:r>
          </w:p>
        </w:tc>
        <w:tc>
          <w:tcPr>
            <w:tcW w:type="dxa" w:w="4200"/>
          </w:tcPr>
          <w:p>
            <w:r>
              <w:t xml:space="preserve">Lower-midcap</w:t>
            </w:r>
          </w:p>
        </w:tc>
      </w:tr>
      <w:tr>
        <w:tc>
          <w:tcPr>
            <w:tcW w:type="dxa" w:w="3200"/>
          </w:tcPr>
          <w:p>
            <w:r>
              <w:t xml:space="preserve">Jeena Sikho Lifecare</w:t>
            </w:r>
          </w:p>
        </w:tc>
        <w:tc>
          <w:tcPr>
            <w:tcW w:type="dxa" w:w="1600"/>
          </w:tcPr>
          <w:p>
            <w:r>
              <w:t xml:space="preserve">~Rs 6,565-7,347 Cr</w:t>
            </w:r>
          </w:p>
        </w:tc>
        <w:tc>
          <w:tcPr>
            <w:tcW w:type="dxa" w:w="4200"/>
          </w:tcPr>
          <w:p>
            <w:r>
              <w:t xml:space="preserve">Upper-midcap</w:t>
            </w:r>
          </w:p>
        </w:tc>
      </w:tr>
      <w:tr>
        <w:tc>
          <w:tcPr>
            <w:tcW w:type="dxa" w:w="3200"/>
          </w:tcPr>
          <w:p>
            <w:r>
              <w:t xml:space="preserve">Technocraft Industries</w:t>
            </w:r>
          </w:p>
        </w:tc>
        <w:tc>
          <w:tcPr>
            <w:tcW w:type="dxa" w:w="1600"/>
          </w:tcPr>
          <w:p>
            <w:r>
              <w:t xml:space="preserve">~Rs 6,538-7,254 Cr</w:t>
            </w:r>
          </w:p>
        </w:tc>
        <w:tc>
          <w:tcPr>
            <w:tcW w:type="dxa" w:w="4200"/>
          </w:tcPr>
          <w:p>
            <w:r>
              <w:t xml:space="preserve">Upper-midcap, at 52wk high</w:t>
            </w:r>
          </w:p>
        </w:tc>
      </w:tr>
      <w:tr>
        <w:tc>
          <w:tcPr>
            <w:tcW w:type="dxa" w:w="3200"/>
          </w:tcPr>
          <w:p>
            <w:r>
              <w:t xml:space="preserve">GMM Pfaudler</w:t>
            </w:r>
          </w:p>
        </w:tc>
        <w:tc>
          <w:tcPr>
            <w:tcW w:type="dxa" w:w="1600"/>
          </w:tcPr>
          <w:p>
            <w:r>
              <w:t xml:space="preserve">~Rs 4,512-4,554 Cr</w:t>
            </w:r>
          </w:p>
        </w:tc>
        <w:tc>
          <w:tcPr>
            <w:tcW w:type="dxa" w:w="4200"/>
          </w:tcPr>
          <w:p>
            <w:r>
              <w:t xml:space="preserve">Lower-midcap, thin margins, down 1yr</w:t>
            </w:r>
          </w:p>
        </w:tc>
      </w:tr>
      <w:tr>
        <w:tc>
          <w:tcPr>
            <w:tcW w:type="dxa" w:w="3200"/>
          </w:tcPr>
          <w:p>
            <w:r>
              <w:t xml:space="preserve">Standard Glass Lining Technology</w:t>
            </w:r>
          </w:p>
        </w:tc>
        <w:tc>
          <w:tcPr>
            <w:tcW w:type="dxa" w:w="1600"/>
          </w:tcPr>
          <w:p>
            <w:r>
              <w:t xml:space="preserve">~Rs 3,709-4,121 Cr</w:t>
            </w:r>
          </w:p>
        </w:tc>
        <w:tc>
          <w:tcPr>
            <w:tcW w:type="dxa" w:w="4200"/>
          </w:tcPr>
          <w:p>
            <w:r>
              <w:t xml:space="preserve">Borderline; genuine curator conviction</w:t>
            </w:r>
          </w:p>
        </w:tc>
      </w:tr>
      <w:tr>
        <w:tc>
          <w:tcPr>
            <w:tcW w:type="dxa" w:w="3200"/>
          </w:tcPr>
          <w:p>
            <w:r>
              <w:t xml:space="preserve">India Glycols</w:t>
            </w:r>
          </w:p>
        </w:tc>
        <w:tc>
          <w:tcPr>
            <w:tcW w:type="dxa" w:w="1600"/>
          </w:tcPr>
          <w:p>
            <w:r>
              <w:t xml:space="preserve">~Rs 6,665-7,245 Cr</w:t>
            </w:r>
          </w:p>
        </w:tc>
        <w:tc>
          <w:tcPr>
            <w:tcW w:type="dxa" w:w="4200"/>
          </w:tcPr>
          <w:p>
            <w:r>
              <w:t xml:space="preserve">Upper-midcap</w:t>
            </w:r>
          </w:p>
        </w:tc>
      </w:tr>
      <w:tr>
        <w:tc>
          <w:tcPr>
            <w:tcW w:type="dxa" w:w="3200"/>
          </w:tcPr>
          <w:p>
            <w:r>
              <w:t xml:space="preserve">Piccadily Agro Industries</w:t>
            </w:r>
          </w:p>
        </w:tc>
        <w:tc>
          <w:tcPr>
            <w:tcW w:type="dxa" w:w="1600"/>
          </w:tcPr>
          <w:p>
            <w:r>
              <w:t xml:space="preserve">~Rs 7,671 Cr</w:t>
            </w:r>
          </w:p>
        </w:tc>
        <w:tc>
          <w:tcPr>
            <w:tcW w:type="dxa" w:w="4200"/>
          </w:tcPr>
          <w:p>
            <w:r>
              <w:t xml:space="preserve">Upper-midcap; excellent growth momentum</w:t>
            </w:r>
          </w:p>
        </w:tc>
      </w:tr>
      <w:tr>
        <w:tc>
          <w:tcPr>
            <w:tcW w:type="dxa" w:w="3200"/>
          </w:tcPr>
          <w:p>
            <w:r>
              <w:t xml:space="preserve">Shilpa Medicare</w:t>
            </w:r>
          </w:p>
        </w:tc>
        <w:tc>
          <w:tcPr>
            <w:tcW w:type="dxa" w:w="1600"/>
          </w:tcPr>
          <w:p>
            <w:r>
              <w:t xml:space="preserve">~Rs 15,743 Cr</w:t>
            </w:r>
          </w:p>
        </w:tc>
        <w:tc>
          <w:tcPr>
            <w:tcW w:type="dxa" w:w="4200"/>
          </w:tcPr>
          <w:p>
            <w:r>
              <w:t xml:space="preserve">Large by absolute size; weak ROE (4-9%) despite endorsement</w:t>
            </w:r>
          </w:p>
        </w:tc>
      </w:tr>
      <w:tr>
        <w:tc>
          <w:tcPr>
            <w:tcW w:type="dxa" w:w="3200"/>
          </w:tcPr>
          <w:p>
            <w:r>
              <w:t xml:space="preserve">Triveni Engineering / Triveni Turbine</w:t>
            </w:r>
          </w:p>
        </w:tc>
        <w:tc>
          <w:tcPr>
            <w:tcW w:type="dxa" w:w="1600"/>
          </w:tcPr>
          <w:p>
            <w:r>
              <w:t xml:space="preserve">~Rs 9,200 Cr / ~Rs 18,000 Cr</w:t>
            </w:r>
          </w:p>
        </w:tc>
        <w:tc>
          <w:tcPr>
            <w:tcW w:type="dxa" w:w="4200"/>
          </w:tcPr>
          <w:p>
            <w:r>
              <w:t xml:space="preserve">Both too large; real opportunity is the NEW spin-off (Triveni Power Transmission) not yet independently listed — watch separately</w:t>
            </w:r>
          </w:p>
        </w:tc>
      </w:tr>
    </w:tbl>
    <w:p>
      <w:pPr>
        <w:spacing w:after="160"/>
      </w:pPr>
    </w:p>
    <w:p>
      <w:pPr>
        <w:pStyle w:val="Heading2"/>
        <w:spacing w:after="140" w:before="320"/>
      </w:pPr>
      <w:r>
        <w:rPr>
          <w:b/>
          <w:bCs/>
          <w:color w:val="1F4E5F"/>
          <w:sz w:val="26"/>
          <w:szCs w:val="26"/>
        </w:rPr>
        <w:t xml:space="preserve">Other exclusions (foreign, special-situation, unverifiable, confirmed fraud)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tcW w:type="dxa" w:w="3200"/>
            <w:shd w:fill="E8E8E8" w:val="clear"/>
          </w:tcPr>
          <w:p>
            <w:r>
              <w:rPr>
                <w:b/>
                <w:bCs/>
              </w:rPr>
              <w:t xml:space="preserve">Name</w:t>
            </w:r>
          </w:p>
        </w:tc>
        <w:tc>
          <w:tcPr>
            <w:tcW w:type="dxa" w:w="1600"/>
            <w:shd w:fill="E8E8E8" w:val="clear"/>
          </w:tcPr>
          <w:p>
            <w:r>
              <w:rPr>
                <w:b/>
                <w:bCs/>
              </w:rPr>
              <w:t xml:space="preserve">Market Cap</w:t>
            </w:r>
          </w:p>
        </w:tc>
        <w:tc>
          <w:tcPr>
            <w:tcW w:type="dxa" w:w="4200"/>
            <w:shd w:fill="E8E8E8" w:val="clear"/>
          </w:tcPr>
          <w:p>
            <w:r>
              <w:rPr>
                <w:b/>
                <w:bCs/>
              </w:rPr>
              <w:t xml:space="preserve">Reason</w:t>
            </w:r>
          </w:p>
        </w:tc>
      </w:tr>
      <w:tr>
        <w:tc>
          <w:tcPr>
            <w:tcW w:type="dxa" w:w="3200"/>
          </w:tcPr>
          <w:p>
            <w:r>
              <w:t xml:space="preserve">NDL Ventures Ltd</w:t>
            </w:r>
          </w:p>
        </w:tc>
        <w:tc>
          <w:tcPr>
            <w:tcW w:type="dxa" w:w="1600"/>
          </w:tcPr>
          <w:p>
            <w:r>
              <w:t xml:space="preserve">Rs 437 Cr (pre-merger shell)</w:t>
            </w:r>
          </w:p>
        </w:tc>
        <w:tc>
          <w:tcPr>
            <w:tcW w:type="dxa" w:w="4200"/>
          </w:tcPr>
          <w:p>
            <w:r>
              <w:t xml:space="preserve">Reverse merger bringing large NBFC Hinduja Leyland Finance (~Rs 72,000 Cr AUM) to market via this shell — a merger-arbitrage situation, not a microcap growth thesis</w:t>
            </w:r>
          </w:p>
        </w:tc>
      </w:tr>
      <w:tr>
        <w:tc>
          <w:tcPr>
            <w:tcW w:type="dxa" w:w="3200"/>
          </w:tcPr>
          <w:p>
            <w:r>
              <w:t xml:space="preserve">BlackBerry Ltd</w:t>
            </w:r>
          </w:p>
        </w:tc>
        <w:tc>
          <w:tcPr>
            <w:tcW w:type="dxa" w:w="1600"/>
          </w:tcPr>
          <w:p>
            <w:r>
              <w:t xml:space="preserve">Foreign</w:t>
            </w:r>
          </w:p>
        </w:tc>
        <w:tc>
          <w:tcPr>
            <w:tcW w:type="dxa" w:w="4200"/>
          </w:tcPr>
          <w:p>
            <w:r>
              <w:t xml:space="preserve">Canada-listed mega-cap, out of scope</w:t>
            </w:r>
          </w:p>
        </w:tc>
      </w:tr>
      <w:tr>
        <w:tc>
          <w:tcPr>
            <w:tcW w:type="dxa" w:w="3200"/>
          </w:tcPr>
          <w:p>
            <w:r>
              <w:t xml:space="preserve">Nokia Corp</w:t>
            </w:r>
          </w:p>
        </w:tc>
        <w:tc>
          <w:tcPr>
            <w:tcW w:type="dxa" w:w="1600"/>
          </w:tcPr>
          <w:p>
            <w:r>
              <w:t xml:space="preserve">Foreign</w:t>
            </w:r>
          </w:p>
        </w:tc>
        <w:tc>
          <w:tcPr>
            <w:tcW w:type="dxa" w:w="4200"/>
          </w:tcPr>
          <w:p>
            <w:r>
              <w:t xml:space="preserve">Finland-listed mega-cap, out of scope</w:t>
            </w:r>
          </w:p>
        </w:tc>
      </w:tr>
    </w:tbl>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2026-09-05T14:13:09.759Z</dcterms:created>
  <dcterms:modified xsi:type="dcterms:W3CDTF">2026-09-05T14:13:09.764Z</dcterms:modified>
</cp:coreProperties>
</file>

<file path=docProps/custom.xml><?xml version="1.0" encoding="utf-8"?>
<Properties xmlns="http://schemas.openxmlformats.org/officeDocument/2006/custom-properties" xmlns:vt="http://schemas.openxmlformats.org/officeDocument/2006/docPropsVTypes"/>
</file>