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4"/>
          <w:szCs w:val="44"/>
        </w:rPr>
        <w:t xml:space="preserve">Rs 1,00,000 Illustrative Portfolio: Deep-Dive &amp; Allocation</w:t>
      </w:r>
    </w:p>
    <w:p>
      <w:pPr>
        <w:pBdr>
          <w:bottom w:val="single" w:color="CCCCCC" w:sz="6" w:space="8"/>
        </w:pBdr>
        <w:spacing w:after="200"/>
      </w:pPr>
      <w:r>
        <w:rPr>
          <w:i/>
          <w:iCs/>
          <w:color w:val="666666"/>
          <w:sz w:val="20"/>
          <w:szCs w:val="20"/>
        </w:rPr>
        <w:t xml:space="preserve">Compiled 14 August 2026 — built from the 108-stock microcap/midcap research project research pool, concentrated into 8 names with additional follow-up research</w:t>
      </w:r>
    </w:p>
    <w:p>
      <w:pPr>
        <w:shd w:fill="FFF4E5" w:val="clear"/>
        <w:spacing w:after="240"/>
      </w:pPr>
      <w:r>
        <w:rPr>
          <w:b/>
          <w:bCs/>
          <w:sz w:val="20"/>
          <w:szCs w:val="20"/>
        </w:rPr>
        <w:t xml:space="preserve">I am not a licensed financial advisor, and this is not personalized investment advice — it does not account for your risk tolerance, tax situation, time horizon, or existing holdings beyond what you've told me. This is an illustrative, research-based allocation model showing how I would size a concentrated position across the strongest names from our research, built to be transparent about assumptions so you can judge and adjust it. Prices below are approximate (captured late July-mid August 2026) and will have moved — verify live prices before acting. Do your own due diligence and consider a licensed advisor before investing real money.</w:t>
      </w:r>
    </w:p>
    <w:p>
      <w:pPr>
        <w:shd w:fill="EDE7F6" w:val="clear"/>
        <w:spacing w:after="240"/>
      </w:pPr>
      <w:r>
        <w:rPr>
          <w:b/>
          <w:bCs/>
          <w:sz w:val="20"/>
          <w:szCs w:val="20"/>
        </w:rPr>
        <w:t xml:space="preserve">Revision (v2): </w:t>
      </w:r>
      <w:r>
        <w:rPr>
          <w:sz w:val="20"/>
          <w:szCs w:val="20"/>
        </w:rPr>
        <w:t xml:space="preserve">This v2 allocation revises the original 8-stock, fully-invested v1 after a second-opinion critique (external AI review) was fact-checked against the underlying research. Two of its claims held up on verification and drove the changes below; the rest of the original conviction ranking was left intact. (1) A cash buffer was absent in v1 - for a concentrated 8-name microcap book, holding zero dry powder means any single-name blow-up or a genuine small-cap drawdown can only be met by selling into weakness. ~14% is now held back specifically to allow averaging into a thesis-confirming dip, or to fund a position increase after a name's next quarterly result actually validates its 'watch for' item, rather than being forced to trade only within the existing 8 names. (2) RNIT AI Solutions' promoter-holding jump (52.28% to 73.74% in one quarter) was flagged in the original v1 write-up as unexplained but not fully priced into sizing; on reflection this is treated more conservatively - cut from 12% to 6%, the smallest position in the book, until a public filing explains the mechanism. (3) Novartis India's ChrysCapital catalyst is the single clearest, most specific thesis in the entire 108-stock research pool (a named PE sponsor, a dated M&amp;A roll-up strategy, concrete governance steps already executed) - it was arguably undersized in v1 relative to Asahi Songwon's single-quarter profit spike, so it moves up slightly (10% to 11%) while Asahi Songwon and Macpower - both excellent but each carrying a 'is this quarter's number sustainable' question mark - are trimmed slightly to fund it. GPT Healthcare's weight rises modestly (13% to 14%) reflecting its combination of a quantified valuation gap and lower capex intensity versus peers, both independently confirmed. Bansal Roofing and Haldyn Glass are trimmed slightly (9% to 8%, 9% to 7%) purely to help fund the cash buffer, not because their underlying theses changed.</w:t>
      </w:r>
    </w:p>
    <w:p>
      <w:pPr>
        <w:pStyle w:val="Heading1"/>
        <w:spacing w:after="140" w:before="320"/>
      </w:pPr>
      <w:r>
        <w:rPr>
          <w:b/>
          <w:bCs/>
          <w:color w:val="1F4E5F"/>
          <w:sz w:val="30"/>
          <w:szCs w:val="30"/>
        </w:rPr>
        <w:t xml:space="preserve">Why Concentrated, and Why These 8</w:t>
      </w:r>
    </w:p>
    <w:p>
      <w:pPr>
        <w:spacing w:after="120"/>
      </w:pPr>
      <w:r>
        <w:t xml:space="preserve">With Rs 1 lakh, spreading across all 12 Tier-A names (let alone all 108) produces positions too small to matter after brokerage/STT, and dilutes the whole point of this exercise, which was to find genuine outliers, not to own the market. Concentration into a handful of highest-conviction names is the right call for this size of capital - but 'concentrated' still means enough names that one blow-up (a Darjeeling-Industries-style fraud, an AVI-Polymers-style promoter exit, a bad quarter in a single-client business) doesn't take out the whole portfolio. 8 names, spread across 7 distinct sectors, with weights scaled to conviction, is the balance struck here. Every name below went through a second, deeper research pass beyond the original lean screen - fresh news, promoter-pledge checks, and (where one exists) a full ValuePickr thread read - specifically to raise or lower conviction before sizing it.</w:t>
      </w:r>
    </w:p>
    <w:p>
      <w:pPr>
        <w:pStyle w:val="Heading1"/>
        <w:spacing w:after="140" w:before="320"/>
      </w:pPr>
      <w:r>
        <w:rPr>
          <w:b/>
          <w:bCs/>
          <w:color w:val="1F4E5F"/>
          <w:sz w:val="30"/>
          <w:szCs w:val="30"/>
        </w:rPr>
        <w:t xml:space="preserve">Final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200"/>
        <w:gridCol w:w="1200"/>
      </w:tblGrid>
      <w:tr>
        <w:tc>
          <w:tcPr>
            <w:tcW w:type="dxa" w:w="2600"/>
            <w:shd w:fill="E8E8E8" w:val="clear"/>
          </w:tcPr>
          <w:p>
            <w:r>
              <w:rPr>
                <w:b/>
                <w:bCs/>
                <w:sz w:val="18"/>
                <w:szCs w:val="18"/>
              </w:rPr>
              <w:t xml:space="preserve">Stock</w:t>
            </w:r>
          </w:p>
        </w:tc>
        <w:tc>
          <w:tcPr>
            <w:tcW w:type="dxa" w:w="1400"/>
            <w:shd w:fill="E8E8E8" w:val="clear"/>
          </w:tcPr>
          <w:p>
            <w:r>
              <w:rPr>
                <w:b/>
                <w:bCs/>
                <w:sz w:val="18"/>
                <w:szCs w:val="18"/>
              </w:rPr>
              <w:t xml:space="preserve">Weight</w:t>
            </w:r>
          </w:p>
        </w:tc>
        <w:tc>
          <w:tcPr>
            <w:tcW w:type="dxa" w:w="1400"/>
            <w:shd w:fill="E8E8E8" w:val="clear"/>
          </w:tcPr>
          <w:p>
            <w:r>
              <w:rPr>
                <w:b/>
                <w:bCs/>
                <w:sz w:val="18"/>
                <w:szCs w:val="18"/>
              </w:rPr>
              <w:t xml:space="preserve">Amount (Rs)</w:t>
            </w:r>
          </w:p>
        </w:tc>
        <w:tc>
          <w:tcPr>
            <w:tcW w:type="dxa" w:w="1200"/>
            <w:shd w:fill="E8E8E8" w:val="clear"/>
          </w:tcPr>
          <w:p>
            <w:r>
              <w:rPr>
                <w:b/>
                <w:bCs/>
                <w:sz w:val="18"/>
                <w:szCs w:val="18"/>
              </w:rPr>
              <w:t xml:space="preserve">Approx Price (Rs)</w:t>
            </w:r>
          </w:p>
        </w:tc>
        <w:tc>
          <w:tcPr>
            <w:tcW w:type="dxa" w:w="1200"/>
            <w:shd w:fill="E8E8E8" w:val="clear"/>
          </w:tcPr>
          <w:p>
            <w:r>
              <w:rPr>
                <w:b/>
                <w:bCs/>
                <w:sz w:val="18"/>
                <w:szCs w:val="18"/>
              </w:rPr>
              <w:t xml:space="preserve">Approx Shares</w:t>
            </w:r>
          </w:p>
        </w:tc>
        <w:tc>
          <w:tcPr>
            <w:tcW w:type="dxa" w:w="1200"/>
            <w:shd w:fill="E8E8E8" w:val="clear"/>
          </w:tcPr>
          <w:p>
            <w:r>
              <w:rPr>
                <w:b/>
                <w:bCs/>
                <w:sz w:val="18"/>
                <w:szCs w:val="18"/>
              </w:rPr>
              <w:t xml:space="preserve">Conviction</w:t>
            </w:r>
          </w:p>
        </w:tc>
      </w:tr>
      <w:tr>
        <w:tc>
          <w:tcPr>
            <w:tcW w:type="dxa" w:w="2600"/>
          </w:tcPr>
          <w:p>
            <w:r>
              <w:rPr>
                <w:sz w:val="18"/>
                <w:szCs w:val="18"/>
              </w:rPr>
              <w:t xml:space="preserve">Dynamic Cables</w:t>
            </w:r>
          </w:p>
        </w:tc>
        <w:tc>
          <w:tcPr>
            <w:tcW w:type="dxa" w:w="1400"/>
          </w:tcPr>
          <w:p>
            <w:r>
              <w:rPr>
                <w:sz w:val="18"/>
                <w:szCs w:val="18"/>
              </w:rPr>
              <w:t xml:space="preserve">16%</w:t>
            </w:r>
          </w:p>
        </w:tc>
        <w:tc>
          <w:tcPr>
            <w:tcW w:type="dxa" w:w="1400"/>
          </w:tcPr>
          <w:p>
            <w:r>
              <w:rPr>
                <w:sz w:val="18"/>
                <w:szCs w:val="18"/>
              </w:rPr>
              <w:t xml:space="preserve">~15,890</w:t>
            </w:r>
          </w:p>
        </w:tc>
        <w:tc>
          <w:tcPr>
            <w:tcW w:type="dxa" w:w="1200"/>
          </w:tcPr>
          <w:p>
            <w:r>
              <w:rPr>
                <w:sz w:val="18"/>
                <w:szCs w:val="18"/>
              </w:rPr>
              <w:t xml:space="preserve">~454</w:t>
            </w:r>
          </w:p>
        </w:tc>
        <w:tc>
          <w:tcPr>
            <w:tcW w:type="dxa" w:w="1200"/>
          </w:tcPr>
          <w:p>
            <w:r>
              <w:rPr>
                <w:sz w:val="18"/>
                <w:szCs w:val="18"/>
              </w:rPr>
              <w:t xml:space="preserve">~35</w:t>
            </w:r>
          </w:p>
        </w:tc>
        <w:tc>
          <w:tcPr>
            <w:tcW w:type="dxa" w:w="1200"/>
          </w:tcPr>
          <w:p>
            <w:r>
              <w:rPr>
                <w:sz w:val="18"/>
                <w:szCs w:val="18"/>
              </w:rPr>
              <w:t xml:space="preserve">High</w:t>
            </w:r>
          </w:p>
        </w:tc>
      </w:tr>
      <w:tr>
        <w:tc>
          <w:tcPr>
            <w:tcW w:type="dxa" w:w="2600"/>
          </w:tcPr>
          <w:p>
            <w:r>
              <w:rPr>
                <w:sz w:val="18"/>
                <w:szCs w:val="18"/>
              </w:rPr>
              <w:t xml:space="preserve">GPT Healthcare</w:t>
            </w:r>
          </w:p>
        </w:tc>
        <w:tc>
          <w:tcPr>
            <w:tcW w:type="dxa" w:w="1400"/>
          </w:tcPr>
          <w:p>
            <w:r>
              <w:rPr>
                <w:sz w:val="18"/>
                <w:szCs w:val="18"/>
              </w:rPr>
              <w:t xml:space="preserve">14%</w:t>
            </w:r>
          </w:p>
        </w:tc>
        <w:tc>
          <w:tcPr>
            <w:tcW w:type="dxa" w:w="1400"/>
          </w:tcPr>
          <w:p>
            <w:r>
              <w:rPr>
                <w:sz w:val="18"/>
                <w:szCs w:val="18"/>
              </w:rPr>
              <w:t xml:space="preserve">~13,944</w:t>
            </w:r>
          </w:p>
        </w:tc>
        <w:tc>
          <w:tcPr>
            <w:tcW w:type="dxa" w:w="1200"/>
          </w:tcPr>
          <w:p>
            <w:r>
              <w:rPr>
                <w:sz w:val="18"/>
                <w:szCs w:val="18"/>
              </w:rPr>
              <w:t xml:space="preserve">~166</w:t>
            </w:r>
          </w:p>
        </w:tc>
        <w:tc>
          <w:tcPr>
            <w:tcW w:type="dxa" w:w="1200"/>
          </w:tcPr>
          <w:p>
            <w:r>
              <w:rPr>
                <w:sz w:val="18"/>
                <w:szCs w:val="18"/>
              </w:rPr>
              <w:t xml:space="preserve">~84</w:t>
            </w:r>
          </w:p>
        </w:tc>
        <w:tc>
          <w:tcPr>
            <w:tcW w:type="dxa" w:w="1200"/>
          </w:tcPr>
          <w:p>
            <w:r>
              <w:rPr>
                <w:sz w:val="18"/>
                <w:szCs w:val="18"/>
              </w:rPr>
              <w:t xml:space="preserve">High</w:t>
            </w:r>
          </w:p>
        </w:tc>
      </w:tr>
      <w:tr>
        <w:tc>
          <w:tcPr>
            <w:tcW w:type="dxa" w:w="2600"/>
          </w:tcPr>
          <w:p>
            <w:r>
              <w:rPr>
                <w:sz w:val="18"/>
                <w:szCs w:val="18"/>
              </w:rPr>
              <w:t xml:space="preserve">Macpower CNC Machines</w:t>
            </w:r>
          </w:p>
        </w:tc>
        <w:tc>
          <w:tcPr>
            <w:tcW w:type="dxa" w:w="1400"/>
          </w:tcPr>
          <w:p>
            <w:r>
              <w:rPr>
                <w:sz w:val="18"/>
                <w:szCs w:val="18"/>
              </w:rPr>
              <w:t xml:space="preserve">13%</w:t>
            </w:r>
          </w:p>
        </w:tc>
        <w:tc>
          <w:tcPr>
            <w:tcW w:type="dxa" w:w="1400"/>
          </w:tcPr>
          <w:p>
            <w:r>
              <w:rPr>
                <w:sz w:val="18"/>
                <w:szCs w:val="18"/>
              </w:rPr>
              <w:t xml:space="preserve">~13,473</w:t>
            </w:r>
          </w:p>
        </w:tc>
        <w:tc>
          <w:tcPr>
            <w:tcW w:type="dxa" w:w="1200"/>
          </w:tcPr>
          <w:p>
            <w:r>
              <w:rPr>
                <w:sz w:val="18"/>
                <w:szCs w:val="18"/>
              </w:rPr>
              <w:t xml:space="preserve">~1,497</w:t>
            </w:r>
          </w:p>
        </w:tc>
        <w:tc>
          <w:tcPr>
            <w:tcW w:type="dxa" w:w="1200"/>
          </w:tcPr>
          <w:p>
            <w:r>
              <w:rPr>
                <w:sz w:val="18"/>
                <w:szCs w:val="18"/>
              </w:rPr>
              <w:t xml:space="preserve">~9</w:t>
            </w:r>
          </w:p>
        </w:tc>
        <w:tc>
          <w:tcPr>
            <w:tcW w:type="dxa" w:w="1200"/>
          </w:tcPr>
          <w:p>
            <w:r>
              <w:rPr>
                <w:sz w:val="18"/>
                <w:szCs w:val="18"/>
              </w:rPr>
              <w:t xml:space="preserve">High</w:t>
            </w:r>
          </w:p>
        </w:tc>
      </w:tr>
      <w:tr>
        <w:tc>
          <w:tcPr>
            <w:tcW w:type="dxa" w:w="2600"/>
          </w:tcPr>
          <w:p>
            <w:r>
              <w:rPr>
                <w:sz w:val="18"/>
                <w:szCs w:val="18"/>
              </w:rPr>
              <w:t xml:space="preserve">Novartis India</w:t>
            </w:r>
          </w:p>
        </w:tc>
        <w:tc>
          <w:tcPr>
            <w:tcW w:type="dxa" w:w="1400"/>
          </w:tcPr>
          <w:p>
            <w:r>
              <w:rPr>
                <w:sz w:val="18"/>
                <w:szCs w:val="18"/>
              </w:rPr>
              <w:t xml:space="preserve">11%</w:t>
            </w:r>
          </w:p>
        </w:tc>
        <w:tc>
          <w:tcPr>
            <w:tcW w:type="dxa" w:w="1400"/>
          </w:tcPr>
          <w:p>
            <w:r>
              <w:rPr>
                <w:sz w:val="18"/>
                <w:szCs w:val="18"/>
              </w:rPr>
              <w:t xml:space="preserve">~11,200</w:t>
            </w:r>
          </w:p>
        </w:tc>
        <w:tc>
          <w:tcPr>
            <w:tcW w:type="dxa" w:w="1200"/>
          </w:tcPr>
          <w:p>
            <w:r>
              <w:rPr>
                <w:sz w:val="18"/>
                <w:szCs w:val="18"/>
              </w:rPr>
              <w:t xml:space="preserve">~1,600</w:t>
            </w:r>
          </w:p>
        </w:tc>
        <w:tc>
          <w:tcPr>
            <w:tcW w:type="dxa" w:w="1200"/>
          </w:tcPr>
          <w:p>
            <w:r>
              <w:rPr>
                <w:sz w:val="18"/>
                <w:szCs w:val="18"/>
              </w:rPr>
              <w:t xml:space="preserve">~7</w:t>
            </w:r>
          </w:p>
        </w:tc>
        <w:tc>
          <w:tcPr>
            <w:tcW w:type="dxa" w:w="1200"/>
          </w:tcPr>
          <w:p>
            <w:r>
              <w:rPr>
                <w:sz w:val="18"/>
                <w:szCs w:val="18"/>
              </w:rPr>
              <w:t xml:space="preserve">Medium-High</w:t>
            </w:r>
          </w:p>
        </w:tc>
      </w:tr>
      <w:tr>
        <w:tc>
          <w:tcPr>
            <w:tcW w:type="dxa" w:w="2600"/>
          </w:tcPr>
          <w:p>
            <w:r>
              <w:rPr>
                <w:sz w:val="18"/>
                <w:szCs w:val="18"/>
              </w:rPr>
              <w:t xml:space="preserve">Asahi Songwon Colors</w:t>
            </w:r>
          </w:p>
        </w:tc>
        <w:tc>
          <w:tcPr>
            <w:tcW w:type="dxa" w:w="1400"/>
          </w:tcPr>
          <w:p>
            <w:r>
              <w:rPr>
                <w:sz w:val="18"/>
                <w:szCs w:val="18"/>
              </w:rPr>
              <w:t xml:space="preserve">11%</w:t>
            </w:r>
          </w:p>
        </w:tc>
        <w:tc>
          <w:tcPr>
            <w:tcW w:type="dxa" w:w="1400"/>
          </w:tcPr>
          <w:p>
            <w:r>
              <w:rPr>
                <w:sz w:val="18"/>
                <w:szCs w:val="18"/>
              </w:rPr>
              <w:t xml:space="preserve">~10,980</w:t>
            </w:r>
          </w:p>
        </w:tc>
        <w:tc>
          <w:tcPr>
            <w:tcW w:type="dxa" w:w="1200"/>
          </w:tcPr>
          <w:p>
            <w:r>
              <w:rPr>
                <w:sz w:val="18"/>
                <w:szCs w:val="18"/>
              </w:rPr>
              <w:t xml:space="preserve">~366</w:t>
            </w:r>
          </w:p>
        </w:tc>
        <w:tc>
          <w:tcPr>
            <w:tcW w:type="dxa" w:w="1200"/>
          </w:tcPr>
          <w:p>
            <w:r>
              <w:rPr>
                <w:sz w:val="18"/>
                <w:szCs w:val="18"/>
              </w:rPr>
              <w:t xml:space="preserve">~30</w:t>
            </w:r>
          </w:p>
        </w:tc>
        <w:tc>
          <w:tcPr>
            <w:tcW w:type="dxa" w:w="1200"/>
          </w:tcPr>
          <w:p>
            <w:r>
              <w:rPr>
                <w:sz w:val="18"/>
                <w:szCs w:val="18"/>
              </w:rPr>
              <w:t xml:space="preserve">Medium-High</w:t>
            </w:r>
          </w:p>
        </w:tc>
      </w:tr>
      <w:tr>
        <w:tc>
          <w:tcPr>
            <w:tcW w:type="dxa" w:w="2600"/>
          </w:tcPr>
          <w:p>
            <w:r>
              <w:rPr>
                <w:sz w:val="18"/>
                <w:szCs w:val="18"/>
              </w:rPr>
              <w:t xml:space="preserve">Bansal Roofing Products</w:t>
            </w:r>
          </w:p>
        </w:tc>
        <w:tc>
          <w:tcPr>
            <w:tcW w:type="dxa" w:w="1400"/>
          </w:tcPr>
          <w:p>
            <w:r>
              <w:rPr>
                <w:sz w:val="18"/>
                <w:szCs w:val="18"/>
              </w:rPr>
              <w:t xml:space="preserve">8%</w:t>
            </w:r>
          </w:p>
        </w:tc>
        <w:tc>
          <w:tcPr>
            <w:tcW w:type="dxa" w:w="1400"/>
          </w:tcPr>
          <w:p>
            <w:r>
              <w:rPr>
                <w:sz w:val="18"/>
                <w:szCs w:val="18"/>
              </w:rPr>
              <w:t xml:space="preserve">~7,930</w:t>
            </w:r>
          </w:p>
        </w:tc>
        <w:tc>
          <w:tcPr>
            <w:tcW w:type="dxa" w:w="1200"/>
          </w:tcPr>
          <w:p>
            <w:r>
              <w:rPr>
                <w:sz w:val="18"/>
                <w:szCs w:val="18"/>
              </w:rPr>
              <w:t xml:space="preserve">~130</w:t>
            </w:r>
          </w:p>
        </w:tc>
        <w:tc>
          <w:tcPr>
            <w:tcW w:type="dxa" w:w="1200"/>
          </w:tcPr>
          <w:p>
            <w:r>
              <w:rPr>
                <w:sz w:val="18"/>
                <w:szCs w:val="18"/>
              </w:rPr>
              <w:t xml:space="preserve">~61</w:t>
            </w:r>
          </w:p>
        </w:tc>
        <w:tc>
          <w:tcPr>
            <w:tcW w:type="dxa" w:w="1200"/>
          </w:tcPr>
          <w:p>
            <w:r>
              <w:rPr>
                <w:sz w:val="18"/>
                <w:szCs w:val="18"/>
              </w:rPr>
              <w:t xml:space="preserve">Medium</w:t>
            </w:r>
          </w:p>
        </w:tc>
      </w:tr>
      <w:tr>
        <w:tc>
          <w:tcPr>
            <w:tcW w:type="dxa" w:w="2600"/>
          </w:tcPr>
          <w:p>
            <w:r>
              <w:rPr>
                <w:sz w:val="18"/>
                <w:szCs w:val="18"/>
              </w:rPr>
              <w:t xml:space="preserve">Haldyn Glass</w:t>
            </w:r>
          </w:p>
        </w:tc>
        <w:tc>
          <w:tcPr>
            <w:tcW w:type="dxa" w:w="1400"/>
          </w:tcPr>
          <w:p>
            <w:r>
              <w:rPr>
                <w:sz w:val="18"/>
                <w:szCs w:val="18"/>
              </w:rPr>
              <w:t xml:space="preserve">7%</w:t>
            </w:r>
          </w:p>
        </w:tc>
        <w:tc>
          <w:tcPr>
            <w:tcW w:type="dxa" w:w="1400"/>
          </w:tcPr>
          <w:p>
            <w:r>
              <w:rPr>
                <w:sz w:val="18"/>
                <w:szCs w:val="18"/>
              </w:rPr>
              <w:t xml:space="preserve">~6,943</w:t>
            </w:r>
          </w:p>
        </w:tc>
        <w:tc>
          <w:tcPr>
            <w:tcW w:type="dxa" w:w="1200"/>
          </w:tcPr>
          <w:p>
            <w:r>
              <w:rPr>
                <w:sz w:val="18"/>
                <w:szCs w:val="18"/>
              </w:rPr>
              <w:t xml:space="preserve">~131</w:t>
            </w:r>
          </w:p>
        </w:tc>
        <w:tc>
          <w:tcPr>
            <w:tcW w:type="dxa" w:w="1200"/>
          </w:tcPr>
          <w:p>
            <w:r>
              <w:rPr>
                <w:sz w:val="18"/>
                <w:szCs w:val="18"/>
              </w:rPr>
              <w:t xml:space="preserve">~53</w:t>
            </w:r>
          </w:p>
        </w:tc>
        <w:tc>
          <w:tcPr>
            <w:tcW w:type="dxa" w:w="1200"/>
          </w:tcPr>
          <w:p>
            <w:r>
              <w:rPr>
                <w:sz w:val="18"/>
                <w:szCs w:val="18"/>
              </w:rPr>
              <w:t xml:space="preserve">Medium</w:t>
            </w:r>
          </w:p>
        </w:tc>
      </w:tr>
      <w:tr>
        <w:tc>
          <w:tcPr>
            <w:tcW w:type="dxa" w:w="2600"/>
          </w:tcPr>
          <w:p>
            <w:r>
              <w:rPr>
                <w:sz w:val="18"/>
                <w:szCs w:val="18"/>
              </w:rPr>
              <w:t xml:space="preserve">RNIT AI Solutions</w:t>
            </w:r>
          </w:p>
        </w:tc>
        <w:tc>
          <w:tcPr>
            <w:tcW w:type="dxa" w:w="1400"/>
          </w:tcPr>
          <w:p>
            <w:r>
              <w:rPr>
                <w:sz w:val="18"/>
                <w:szCs w:val="18"/>
              </w:rPr>
              <w:t xml:space="preserve">6%</w:t>
            </w:r>
          </w:p>
        </w:tc>
        <w:tc>
          <w:tcPr>
            <w:tcW w:type="dxa" w:w="1400"/>
          </w:tcPr>
          <w:p>
            <w:r>
              <w:rPr>
                <w:sz w:val="18"/>
                <w:szCs w:val="18"/>
              </w:rPr>
              <w:t xml:space="preserve">~5,976</w:t>
            </w:r>
          </w:p>
        </w:tc>
        <w:tc>
          <w:tcPr>
            <w:tcW w:type="dxa" w:w="1200"/>
          </w:tcPr>
          <w:p>
            <w:r>
              <w:rPr>
                <w:sz w:val="18"/>
                <w:szCs w:val="18"/>
              </w:rPr>
              <w:t xml:space="preserve">~72</w:t>
            </w:r>
          </w:p>
        </w:tc>
        <w:tc>
          <w:tcPr>
            <w:tcW w:type="dxa" w:w="1200"/>
          </w:tcPr>
          <w:p>
            <w:r>
              <w:rPr>
                <w:sz w:val="18"/>
                <w:szCs w:val="18"/>
              </w:rPr>
              <w:t xml:space="preserve">~83</w:t>
            </w:r>
          </w:p>
        </w:tc>
        <w:tc>
          <w:tcPr>
            <w:tcW w:type="dxa" w:w="1200"/>
          </w:tcPr>
          <w:p>
            <w:r>
              <w:rPr>
                <w:sz w:val="18"/>
                <w:szCs w:val="18"/>
              </w:rPr>
              <w:t xml:space="preserve">Medium (capped)</w:t>
            </w:r>
          </w:p>
        </w:tc>
      </w:tr>
      <w:tr>
        <w:tc>
          <w:tcPr>
            <w:tcW w:type="dxa" w:w="2600"/>
          </w:tcPr>
          <w:p>
            <w:r>
              <w:rPr>
                <w:sz w:val="18"/>
                <w:szCs w:val="18"/>
              </w:rPr>
              <w:t xml:space="preserve">Cash Buffer</w:t>
            </w:r>
          </w:p>
        </w:tc>
        <w:tc>
          <w:tcPr>
            <w:tcW w:type="dxa" w:w="1400"/>
          </w:tcPr>
          <w:p>
            <w:r>
              <w:rPr>
                <w:sz w:val="18"/>
                <w:szCs w:val="18"/>
              </w:rPr>
              <w:t xml:space="preserve">14%</w:t>
            </w:r>
          </w:p>
        </w:tc>
        <w:tc>
          <w:tcPr>
            <w:tcW w:type="dxa" w:w="1400"/>
          </w:tcPr>
          <w:p>
            <w:r>
              <w:rPr>
                <w:sz w:val="18"/>
                <w:szCs w:val="18"/>
              </w:rPr>
              <w:t xml:space="preserve">~13,664</w:t>
            </w:r>
          </w:p>
        </w:tc>
        <w:tc>
          <w:tcPr>
            <w:tcW w:type="dxa" w:w="1200"/>
          </w:tcPr>
          <w:p>
            <w:r>
              <w:rPr>
                <w:sz w:val="18"/>
                <w:szCs w:val="18"/>
              </w:rPr>
              <w:t xml:space="preserve">-</w:t>
            </w:r>
          </w:p>
        </w:tc>
        <w:tc>
          <w:tcPr>
            <w:tcW w:type="dxa" w:w="1200"/>
          </w:tcPr>
          <w:p>
            <w:r>
              <w:rPr>
                <w:sz w:val="18"/>
                <w:szCs w:val="18"/>
              </w:rPr>
              <w:t xml:space="preserve">-</w:t>
            </w:r>
          </w:p>
        </w:tc>
        <w:tc>
          <w:tcPr>
            <w:tcW w:type="dxa" w:w="1200"/>
          </w:tcPr>
          <w:p>
            <w:r>
              <w:rPr>
                <w:sz w:val="18"/>
                <w:szCs w:val="18"/>
              </w:rPr>
              <w:t xml:space="preserve">-</w:t>
            </w:r>
          </w:p>
        </w:tc>
      </w:tr>
    </w:tbl>
    <w:p>
      <w:pPr>
        <w:spacing w:after="100"/>
      </w:pPr>
    </w:p>
    <w:p>
      <w:pPr>
        <w:spacing w:after="120"/>
      </w:pPr>
      <w:r>
        <w:rPr>
          <w:i/>
          <w:iCs/>
          <w:color w:val="666666"/>
          <w:sz w:val="20"/>
          <w:szCs w:val="20"/>
        </w:rPr>
        <w:t xml:space="preserve">Total invested ~Rs 86,336 across 8 positions, with the remaining ~Rs 13,664 (~13.7%) held deliberately as cash - not a rounding residual this time, but a sized buffer (see revision note below). Prices are approximate and dated (late Jul-mid Aug 2026 sources of varying freshness) - re-check live quotes before placing any order; share counts will shift accordingly.</w:t>
      </w:r>
    </w:p>
    <w:p>
      <w:pPr>
        <w:pStyle w:val="Heading1"/>
        <w:spacing w:after="140" w:before="320"/>
      </w:pPr>
      <w:r>
        <w:rPr>
          <w:b/>
          <w:bCs/>
          <w:color w:val="1F4E5F"/>
          <w:sz w:val="30"/>
          <w:szCs w:val="30"/>
        </w:rPr>
        <w:t xml:space="preserve">Sector Diversification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c>
          <w:tcPr>
            <w:tcW w:type="dxa" w:w="3600"/>
            <w:shd w:fill="E8E8E8" w:val="clear"/>
          </w:tcPr>
          <w:p>
            <w:r>
              <w:rPr>
                <w:b/>
                <w:bCs/>
              </w:rPr>
              <w:t xml:space="preserve">Sector</w:t>
            </w:r>
          </w:p>
        </w:tc>
        <w:tc>
          <w:tcPr>
            <w:tcW w:type="dxa" w:w="2600"/>
            <w:shd w:fill="E8E8E8" w:val="clear"/>
          </w:tcPr>
          <w:p>
            <w:r>
              <w:rPr>
                <w:b/>
                <w:bCs/>
              </w:rPr>
              <w:t xml:space="preserve">Stocks</w:t>
            </w:r>
          </w:p>
        </w:tc>
        <w:tc>
          <w:tcPr>
            <w:tcW w:type="dxa" w:w="2800"/>
            <w:shd w:fill="E8E8E8" w:val="clear"/>
          </w:tcPr>
          <w:p>
            <w:r>
              <w:rPr>
                <w:b/>
                <w:bCs/>
              </w:rPr>
              <w:t xml:space="preserve">Combined Weight</w:t>
            </w:r>
          </w:p>
        </w:tc>
      </w:tr>
      <w:tr>
        <w:tc>
          <w:tcPr>
            <w:tcW w:type="dxa" w:w="3600"/>
          </w:tcPr>
          <w:p>
            <w:r>
              <w:t xml:space="preserve">Power infrastructure / cables</w:t>
            </w:r>
          </w:p>
        </w:tc>
        <w:tc>
          <w:tcPr>
            <w:tcW w:type="dxa" w:w="2600"/>
          </w:tcPr>
          <w:p>
            <w:r>
              <w:t xml:space="preserve">Dynamic Cables</w:t>
            </w:r>
          </w:p>
        </w:tc>
        <w:tc>
          <w:tcPr>
            <w:tcW w:type="dxa" w:w="2800"/>
          </w:tcPr>
          <w:p>
            <w:r>
              <w:t xml:space="preserve">16%</w:t>
            </w:r>
          </w:p>
        </w:tc>
      </w:tr>
      <w:tr>
        <w:tc>
          <w:tcPr>
            <w:tcW w:type="dxa" w:w="3600"/>
          </w:tcPr>
          <w:p>
            <w:r>
              <w:t xml:space="preserve">Healthcare / hospitals</w:t>
            </w:r>
          </w:p>
        </w:tc>
        <w:tc>
          <w:tcPr>
            <w:tcW w:type="dxa" w:w="2600"/>
          </w:tcPr>
          <w:p>
            <w:r>
              <w:t xml:space="preserve">GPT Healthcare</w:t>
            </w:r>
          </w:p>
        </w:tc>
        <w:tc>
          <w:tcPr>
            <w:tcW w:type="dxa" w:w="2800"/>
          </w:tcPr>
          <w:p>
            <w:r>
              <w:t xml:space="preserve">14%</w:t>
            </w:r>
          </w:p>
        </w:tc>
      </w:tr>
      <w:tr>
        <w:tc>
          <w:tcPr>
            <w:tcW w:type="dxa" w:w="3600"/>
          </w:tcPr>
          <w:p>
            <w:r>
              <w:t xml:space="preserve">Capital goods / machine tools</w:t>
            </w:r>
          </w:p>
        </w:tc>
        <w:tc>
          <w:tcPr>
            <w:tcW w:type="dxa" w:w="2600"/>
          </w:tcPr>
          <w:p>
            <w:r>
              <w:t xml:space="preserve">Macpower CNC Machines</w:t>
            </w:r>
          </w:p>
        </w:tc>
        <w:tc>
          <w:tcPr>
            <w:tcW w:type="dxa" w:w="2800"/>
          </w:tcPr>
          <w:p>
            <w:r>
              <w:t xml:space="preserve">13%</w:t>
            </w:r>
          </w:p>
        </w:tc>
      </w:tr>
      <w:tr>
        <w:tc>
          <w:tcPr>
            <w:tcW w:type="dxa" w:w="3600"/>
          </w:tcPr>
          <w:p>
            <w:r>
              <w:t xml:space="preserve">Pharma (special situation)</w:t>
            </w:r>
          </w:p>
        </w:tc>
        <w:tc>
          <w:tcPr>
            <w:tcW w:type="dxa" w:w="2600"/>
          </w:tcPr>
          <w:p>
            <w:r>
              <w:t xml:space="preserve">Novartis India</w:t>
            </w:r>
          </w:p>
        </w:tc>
        <w:tc>
          <w:tcPr>
            <w:tcW w:type="dxa" w:w="2800"/>
          </w:tcPr>
          <w:p>
            <w:r>
              <w:t xml:space="preserve">11%</w:t>
            </w:r>
          </w:p>
        </w:tc>
      </w:tr>
      <w:tr>
        <w:tc>
          <w:tcPr>
            <w:tcW w:type="dxa" w:w="3600"/>
          </w:tcPr>
          <w:p>
            <w:r>
              <w:t xml:space="preserve">Specialty chemicals / pigments</w:t>
            </w:r>
          </w:p>
        </w:tc>
        <w:tc>
          <w:tcPr>
            <w:tcW w:type="dxa" w:w="2600"/>
          </w:tcPr>
          <w:p>
            <w:r>
              <w:t xml:space="preserve">Asahi Songwon Colors</w:t>
            </w:r>
          </w:p>
        </w:tc>
        <w:tc>
          <w:tcPr>
            <w:tcW w:type="dxa" w:w="2800"/>
          </w:tcPr>
          <w:p>
            <w:r>
              <w:t xml:space="preserve">11%</w:t>
            </w:r>
          </w:p>
        </w:tc>
      </w:tr>
      <w:tr>
        <w:tc>
          <w:tcPr>
            <w:tcW w:type="dxa" w:w="3600"/>
          </w:tcPr>
          <w:p>
            <w:r>
              <w:t xml:space="preserve">Industrial / PEB structures</w:t>
            </w:r>
          </w:p>
        </w:tc>
        <w:tc>
          <w:tcPr>
            <w:tcW w:type="dxa" w:w="2600"/>
          </w:tcPr>
          <w:p>
            <w:r>
              <w:t xml:space="preserve">Bansal Roofing Products</w:t>
            </w:r>
          </w:p>
        </w:tc>
        <w:tc>
          <w:tcPr>
            <w:tcW w:type="dxa" w:w="2800"/>
          </w:tcPr>
          <w:p>
            <w:r>
              <w:t xml:space="preserve">8%</w:t>
            </w:r>
          </w:p>
        </w:tc>
      </w:tr>
      <w:tr>
        <w:tc>
          <w:tcPr>
            <w:tcW w:type="dxa" w:w="3600"/>
          </w:tcPr>
          <w:p>
            <w:r>
              <w:t xml:space="preserve">Glass packaging</w:t>
            </w:r>
          </w:p>
        </w:tc>
        <w:tc>
          <w:tcPr>
            <w:tcW w:type="dxa" w:w="2600"/>
          </w:tcPr>
          <w:p>
            <w:r>
              <w:t xml:space="preserve">Haldyn Glass</w:t>
            </w:r>
          </w:p>
        </w:tc>
        <w:tc>
          <w:tcPr>
            <w:tcW w:type="dxa" w:w="2800"/>
          </w:tcPr>
          <w:p>
            <w:r>
              <w:t xml:space="preserve">7%</w:t>
            </w:r>
          </w:p>
        </w:tc>
      </w:tr>
      <w:tr>
        <w:tc>
          <w:tcPr>
            <w:tcW w:type="dxa" w:w="3600"/>
          </w:tcPr>
          <w:p>
            <w:r>
              <w:t xml:space="preserve">AI/SaaS - government</w:t>
            </w:r>
          </w:p>
        </w:tc>
        <w:tc>
          <w:tcPr>
            <w:tcW w:type="dxa" w:w="2600"/>
          </w:tcPr>
          <w:p>
            <w:r>
              <w:t xml:space="preserve">RNIT AI Solutions</w:t>
            </w:r>
          </w:p>
        </w:tc>
        <w:tc>
          <w:tcPr>
            <w:tcW w:type="dxa" w:w="2800"/>
          </w:tcPr>
          <w:p>
            <w:r>
              <w:t xml:space="preserve">6%</w:t>
            </w:r>
          </w:p>
        </w:tc>
      </w:tr>
      <w:tr>
        <w:tc>
          <w:tcPr>
            <w:tcW w:type="dxa" w:w="3600"/>
          </w:tcPr>
          <w:p>
            <w:r>
              <w:t xml:space="preserve">Cash</w:t>
            </w:r>
          </w:p>
        </w:tc>
        <w:tc>
          <w:tcPr>
            <w:tcW w:type="dxa" w:w="2600"/>
          </w:tcPr>
          <w:p>
            <w:r>
              <w:t xml:space="preserve">Held as buffer, uninvested</w:t>
            </w:r>
          </w:p>
        </w:tc>
        <w:tc>
          <w:tcPr>
            <w:tcW w:type="dxa" w:w="2800"/>
          </w:tcPr>
          <w:p>
            <w:r>
              <w:t xml:space="preserve">14%</w:t>
            </w:r>
          </w:p>
        </w:tc>
      </w:tr>
    </w:tbl>
    <w:p>
      <w:pPr>
        <w:spacing w:after="100"/>
      </w:pPr>
    </w:p>
    <w:p>
      <w:pPr>
        <w:spacing w:after="120"/>
      </w:pPr>
      <w:r>
        <w:t xml:space="preserve">No single equity position exceeds 16%, and the 8 names span 7 genuinely distinct end-markets (only Bansal Roofing and, loosely, Macpower share industrial-capex-cycle exposure). This isn't accidental - a common failure mode in concentrated retail portfolios is unknowingly stacking 5 names that all move together in the same downturn (e.g. all auto-ancillary, or all riding one commodity cycle). This portfolio would still fall in a broad small-cap selloff, but it isn't making one macro bet dressed up as eight stock picks. The ~14% cash sleeve isn't a sector - it's the ninth risk-management lever, sitting outside the equity book entirely.</w:t>
      </w:r>
    </w:p>
    <w:p>
      <w:pPr>
        <w:pStyle w:val="Heading1"/>
        <w:spacing w:after="140" w:before="320"/>
      </w:pPr>
      <w:r>
        <w:rPr>
          <w:b/>
          <w:bCs/>
          <w:color w:val="1F4E5F"/>
          <w:sz w:val="30"/>
          <w:szCs w:val="30"/>
        </w:rPr>
        <w:t xml:space="preserve">Per-Stock Deep Dive: Updated Conviction</w:t>
      </w:r>
    </w:p>
    <w:p>
      <w:pPr>
        <w:spacing w:after="120"/>
      </w:pPr>
      <w:r>
        <w:rPr>
          <w:i/>
          <w:iCs/>
          <w:color w:val="666666"/>
        </w:rPr>
        <w:t xml:space="preserve">Each name below already had a first-pass writeup in the main research folder. What follows is what changed or got confirmed on the second, deeper pass done specifically for this portfolio - including things that lowered conviction, not just things that raised it.</w:t>
      </w:r>
    </w:p>
    <w:p>
      <w:pPr>
        <w:spacing w:after="40" w:before="240"/>
      </w:pPr>
      <w:r>
        <w:rPr>
          <w:b/>
          <w:bCs/>
          <w:sz w:val="26"/>
          <w:szCs w:val="26"/>
        </w:rPr>
        <w:t xml:space="preserve">Macpower CNC Machines Ltd</w:t>
      </w:r>
      <w:r>
        <w:rPr>
          <w:b/>
          <w:bCs/>
          <w:color w:val="1E7A34"/>
          <w:sz w:val="20"/>
          <w:szCs w:val="20"/>
        </w:rPr>
        <w:t xml:space="preserve">  —  13% allocation  |  Conviction: High</w:t>
      </w:r>
    </w:p>
    <w:p>
      <w:pPr>
        <w:spacing w:after="100"/>
      </w:pPr>
      <w:r>
        <w:rPr>
          <w:i/>
          <w:iCs/>
          <w:color w:val="666666"/>
          <w:sz w:val="20"/>
          <w:szCs w:val="20"/>
        </w:rPr>
        <w:t xml:space="preserve">CNC machine tools, Rajkot | NSE: MACPOWER</w:t>
      </w:r>
    </w:p>
    <w:p>
      <w:pPr>
        <w:spacing w:after="120"/>
      </w:pPr>
      <w:r>
        <w:t xml:space="preserve">ROCE ~28%, near-zero debt, premium-machine mix upgrade (NEXA line), a curator thesis that explicitly survived scrutiny 'despite mixed external feedback.'</w:t>
      </w:r>
    </w:p>
    <w:p>
      <w:pPr>
        <w:spacing w:after="100"/>
      </w:pPr>
      <w:r>
        <w:rPr>
          <w:b/>
          <w:bCs/>
          <w:sz w:val="20"/>
          <w:szCs w:val="20"/>
        </w:rPr>
        <w:t xml:space="preserve">New from deeper research: </w:t>
      </w:r>
      <w:r>
        <w:rPr>
          <w:sz w:val="20"/>
          <w:szCs w:val="20"/>
        </w:rPr>
        <w:t xml:space="preserve">FY26 revenue +27.3% YoY to Rs 333.18 Cr with record quarterly and annual results. Order book +23% YoY to Rs 406 Cr, with premium NEXA machines now 40% of that order book - directly confirms the product-mix-upgrade thesis rather than just asserting it. Management has explicitly guided FY27 revenue growth of 28-30%. Zero promoter pledge, confirmed via FY26 SEBI declaration. New capacity: 13 acres leased near Metoda GIDC, Rajkot, Rs 50 Cr planned investment, qualifying for Gujarat's Viksit Gujarat Industrial Policy 2026 incentives. This is the strongest confirmation of any name in the shortlist - the FY25 'growth wobble' flagged in the original research has clearly reversed.</w:t>
      </w:r>
    </w:p>
    <w:p>
      <w:pPr>
        <w:spacing w:after="100"/>
      </w:pPr>
      <w:r>
        <w:rPr>
          <w:b/>
          <w:bCs/>
          <w:sz w:val="20"/>
          <w:szCs w:val="20"/>
        </w:rPr>
        <w:t xml:space="preserve">Why this weight: </w:t>
      </w:r>
      <w:r>
        <w:rPr>
          <w:sz w:val="20"/>
          <w:szCs w:val="20"/>
        </w:rPr>
        <w:t xml:space="preserve">Highest weight alongside Dynamic Cables: explicit forward guidance (not just historical growth), a real capacity-expansion plan with government incentive backing, and independently confirmed order-book quality (premium mix, not just volume).</w:t>
      </w:r>
    </w:p>
    <w:p>
      <w:pPr>
        <w:spacing w:after="160"/>
      </w:pPr>
      <w:r>
        <w:rPr>
          <w:b/>
          <w:bCs/>
          <w:color w:val="A32020"/>
          <w:sz w:val="20"/>
          <w:szCs w:val="20"/>
        </w:rPr>
        <w:t xml:space="preserve">Watch for (thesis-breakers): </w:t>
      </w:r>
      <w:r>
        <w:rPr>
          <w:sz w:val="20"/>
          <w:szCs w:val="20"/>
        </w:rPr>
        <w:t xml:space="preserve">FY27 quarters actually delivering the guided 28-30% growth; any slippage in the new capacity timeline; whether premium-mix share of the order book keeps rising or plateaus.</w:t>
      </w:r>
    </w:p>
    <w:p>
      <w:pPr>
        <w:spacing w:after="40" w:before="240"/>
      </w:pPr>
      <w:r>
        <w:rPr>
          <w:b/>
          <w:bCs/>
          <w:sz w:val="26"/>
          <w:szCs w:val="26"/>
        </w:rPr>
        <w:t xml:space="preserve">Dynamic Cables Ltd</w:t>
      </w:r>
      <w:r>
        <w:rPr>
          <w:b/>
          <w:bCs/>
          <w:color w:val="1E7A34"/>
          <w:sz w:val="20"/>
          <w:szCs w:val="20"/>
        </w:rPr>
        <w:t xml:space="preserve">  —  16% allocation  |  Conviction: High</w:t>
      </w:r>
    </w:p>
    <w:p>
      <w:pPr>
        <w:spacing w:after="100"/>
      </w:pPr>
      <w:r>
        <w:rPr>
          <w:i/>
          <w:iCs/>
          <w:color w:val="666666"/>
          <w:sz w:val="20"/>
          <w:szCs w:val="20"/>
        </w:rPr>
        <w:t xml:space="preserve">Power transmission cables/conductors, Rajasthan | NSE: DYCL</w:t>
      </w:r>
    </w:p>
    <w:p>
      <w:pPr>
        <w:spacing w:after="120"/>
      </w:pPr>
      <w:r>
        <w:t xml:space="preserve">ROCE 26.2%, ROE 19.9%, nearly debt-free, source-sheet's specific quarterly claims (+33% revenue, +37% profit) independently corroborated.</w:t>
      </w:r>
    </w:p>
    <w:p>
      <w:pPr>
        <w:spacing w:after="100"/>
      </w:pPr>
      <w:r>
        <w:rPr>
          <w:b/>
          <w:bCs/>
          <w:sz w:val="20"/>
          <w:szCs w:val="20"/>
        </w:rPr>
        <w:t xml:space="preserve">New from deeper research: </w:t>
      </w:r>
      <w:r>
        <w:rPr>
          <w:sz w:val="20"/>
          <w:szCs w:val="20"/>
        </w:rPr>
        <w:t xml:space="preserve">FY26 full-year revenue Rs 1,198 Cr (+17%), net profit Rs 84.4 Cr (+30%). Record order book of Rs 808 Cr as of March 2026 - roughly 4x FY26 revenue, unusually strong forward visibility for a company this size. Zero promoter pledge. A new technical partnership with US-based TS Conductor Corp to manufacture and market HTLS (high-temperature low-sag) conductors - a real move up the value chain into higher-margin, higher-technology cable products, not just capacity addition. New fire-retardant cable products (FR-LSH, FR-FRLSH) launched for the B2B segment.</w:t>
      </w:r>
    </w:p>
    <w:p>
      <w:pPr>
        <w:spacing w:after="100"/>
      </w:pPr>
      <w:r>
        <w:rPr>
          <w:b/>
          <w:bCs/>
          <w:sz w:val="20"/>
          <w:szCs w:val="20"/>
        </w:rPr>
        <w:t xml:space="preserve">Why this weight: </w:t>
      </w:r>
      <w:r>
        <w:rPr>
          <w:sz w:val="20"/>
          <w:szCs w:val="20"/>
        </w:rPr>
        <w:t xml:space="preserve">Equal-highest weight with Macpower: the order-book-to-revenue ratio (4x) is the standout metric in this entire shortlist, and the TS Conductor Corp partnership is a specific, verifiable technology upgrade rather than a vague growth narrative.</w:t>
      </w:r>
    </w:p>
    <w:p>
      <w:pPr>
        <w:spacing w:after="160"/>
      </w:pPr>
      <w:r>
        <w:rPr>
          <w:b/>
          <w:bCs/>
          <w:color w:val="A32020"/>
          <w:sz w:val="20"/>
          <w:szCs w:val="20"/>
        </w:rPr>
        <w:t xml:space="preserve">Watch for (thesis-breakers): </w:t>
      </w:r>
      <w:r>
        <w:rPr>
          <w:sz w:val="20"/>
          <w:szCs w:val="20"/>
        </w:rPr>
        <w:t xml:space="preserve">Execution on the Rs 808 Cr order book (conversion to actual billed revenue, on-time delivery); how quickly the HTLS conductor line scales and whether it genuinely commands better margins; raw-material (copper/aluminium) price volatility.</w:t>
      </w:r>
    </w:p>
    <w:p>
      <w:pPr>
        <w:spacing w:after="40" w:before="240"/>
      </w:pPr>
      <w:r>
        <w:rPr>
          <w:b/>
          <w:bCs/>
          <w:sz w:val="26"/>
          <w:szCs w:val="26"/>
        </w:rPr>
        <w:t xml:space="preserve">Asahi Songwon Colors Ltd</w:t>
      </w:r>
      <w:r>
        <w:rPr>
          <w:b/>
          <w:bCs/>
          <w:color w:val="3D7A1E"/>
          <w:sz w:val="20"/>
          <w:szCs w:val="20"/>
        </w:rPr>
        <w:t xml:space="preserve">  —  11% allocation  |  Conviction: Medium-High</w:t>
      </w:r>
    </w:p>
    <w:p>
      <w:pPr>
        <w:spacing w:after="100"/>
      </w:pPr>
      <w:r>
        <w:rPr>
          <w:i/>
          <w:iCs/>
          <w:color w:val="666666"/>
          <w:sz w:val="20"/>
          <w:szCs w:val="20"/>
        </w:rPr>
        <w:t xml:space="preserve">Phthalocyanine pigments manufacturer, Ahmedabad | NSE: ASAHISONG</w:t>
      </w:r>
    </w:p>
    <w:p>
      <w:pPr>
        <w:spacing w:after="120"/>
      </w:pPr>
      <w:r>
        <w:t xml:space="preserve">Real margin-driven profit inflection (PAT ~10x sequentially over 2 quarters), reasonable valuation (P/B 1.6x), decade-long rising promoter-holding trend, healthy (not overextended) weekly/monthly technicals.</w:t>
      </w:r>
    </w:p>
    <w:p>
      <w:pPr>
        <w:spacing w:after="100"/>
      </w:pPr>
      <w:r>
        <w:rPr>
          <w:b/>
          <w:bCs/>
          <w:sz w:val="20"/>
          <w:szCs w:val="20"/>
        </w:rPr>
        <w:t xml:space="preserve">New from deeper research: </w:t>
      </w:r>
      <w:r>
        <w:rPr>
          <w:sz w:val="20"/>
          <w:szCs w:val="20"/>
        </w:rPr>
        <w:t xml:space="preserve">Q1 FY27 net profit jumped 508.5% YoY to Rs 19.23 Cr on revenue of Rs 189.70 Cr (+25.35% YoY), with net margin reaching 10.14% - a step-change, not incremental improvement. The stock hit its 5% upper circuit on 31 July 2026 with 'buyers queuing and no sellers willing to part with shares' - a strong, independently reported momentum confirmation. Zero promoter pledge confirmed, promoter holding steady at 67%.</w:t>
      </w:r>
    </w:p>
    <w:p>
      <w:pPr>
        <w:spacing w:after="100"/>
      </w:pPr>
      <w:r>
        <w:rPr>
          <w:b/>
          <w:bCs/>
          <w:sz w:val="20"/>
          <w:szCs w:val="20"/>
        </w:rPr>
        <w:t xml:space="preserve">Why this weight: </w:t>
      </w:r>
      <w:r>
        <w:rPr>
          <w:sz w:val="20"/>
          <w:szCs w:val="20"/>
        </w:rPr>
        <w:t xml:space="preserve">Very high weight justified by the magnitude of the confirmed inflection (500%+ profit growth is rare even among 'good' stories in this dataset) plus a genuinely clean ownership picture. Sized just under the top two because the sheer size of the profit jump (vs. a low base) means the next 2-3 quarters need to show this holding, not just a one-off comparison-base effect.</w:t>
      </w:r>
    </w:p>
    <w:p>
      <w:pPr>
        <w:spacing w:after="160"/>
      </w:pPr>
      <w:r>
        <w:rPr>
          <w:b/>
          <w:bCs/>
          <w:color w:val="A32020"/>
          <w:sz w:val="20"/>
          <w:szCs w:val="20"/>
        </w:rPr>
        <w:t xml:space="preserve">Watch for (thesis-breakers): </w:t>
      </w:r>
      <w:r>
        <w:rPr>
          <w:sz w:val="20"/>
          <w:szCs w:val="20"/>
        </w:rPr>
        <w:t xml:space="preserve">Whether the ~10% net margin is sustainable or reflects a temporary raw-material/pricing tailwind; the next 2 quarters' YoY comparisons will be much tougher given how strong Q1 FY27 was; input-cost volatility given the specialty pigments business is not fully insulated from commodity swings.</w:t>
      </w:r>
    </w:p>
    <w:p>
      <w:pPr>
        <w:spacing w:after="40" w:before="240"/>
      </w:pPr>
      <w:r>
        <w:rPr>
          <w:b/>
          <w:bCs/>
          <w:sz w:val="26"/>
          <w:szCs w:val="26"/>
        </w:rPr>
        <w:t xml:space="preserve">GPT Healthcare Ltd</w:t>
      </w:r>
      <w:r>
        <w:rPr>
          <w:b/>
          <w:bCs/>
          <w:color w:val="1E7A34"/>
          <w:sz w:val="20"/>
          <w:szCs w:val="20"/>
        </w:rPr>
        <w:t xml:space="preserve">  —  14% allocation  |  Conviction: High</w:t>
      </w:r>
    </w:p>
    <w:p>
      <w:pPr>
        <w:spacing w:after="100"/>
      </w:pPr>
      <w:r>
        <w:rPr>
          <w:i/>
          <w:iCs/>
          <w:color w:val="666666"/>
          <w:sz w:val="20"/>
          <w:szCs w:val="20"/>
        </w:rPr>
        <w:t xml:space="preserve">Multi-specialty hospitals, Eastern India | NSE: GPTHEALTH</w:t>
      </w:r>
    </w:p>
    <w:p>
      <w:pPr>
        <w:spacing w:after="120"/>
      </w:pPr>
      <w:r>
        <w:t xml:space="preserve">ROCE/ROE in the high-teens to mid-20s, above-industry revenue growth (14.25% vs 3.54% industry), specific operational drivers (occupancy, ARPOB, Raipur ramp), framed as under-discovered.</w:t>
      </w:r>
    </w:p>
    <w:p>
      <w:pPr>
        <w:spacing w:after="100"/>
      </w:pPr>
      <w:r>
        <w:rPr>
          <w:b/>
          <w:bCs/>
          <w:sz w:val="20"/>
          <w:szCs w:val="20"/>
        </w:rPr>
        <w:t xml:space="preserve">New from deeper research: </w:t>
      </w:r>
      <w:r>
        <w:rPr>
          <w:sz w:val="20"/>
          <w:szCs w:val="20"/>
        </w:rPr>
        <w:t xml:space="preserve">ValuePickr thread ('Hospitals for Eastern India') confirms a real, quantified valuation arbitrage: trading at ~16.5x EV/EBITDA versus an industry norm of ~36x, alongside genuinely lower capex-per-bed (Rs 70-80 lakh vs industry Rs 1.2-1.4 Cr) - an asset-light model, not just a smaller player. Explicit expansion plan to 1,000 beds within 3 years via greenfield hospitals in Raipur and Ranchi. Zero promoter pledge, stock +27% over 6 months confirming the re-rating has begun. Community-flagged risks: heavy key-man dependency on the two doctor-founders (Om and Aruna Tantia), competition from much larger chains (AMRI, Narayana, Apollo) in the same region, and new hospitals expected to take 15-18 months to break even (vs. 8-10 months historically) with an initial Rs 5-10 Cr cash-loss phase per new facility.</w:t>
      </w:r>
    </w:p>
    <w:p>
      <w:pPr>
        <w:spacing w:after="100"/>
      </w:pPr>
      <w:r>
        <w:rPr>
          <w:b/>
          <w:bCs/>
          <w:sz w:val="20"/>
          <w:szCs w:val="20"/>
        </w:rPr>
        <w:t xml:space="preserve">Why this weight: </w:t>
      </w:r>
      <w:r>
        <w:rPr>
          <w:sz w:val="20"/>
          <w:szCs w:val="20"/>
        </w:rPr>
        <w:t xml:space="preserve">Medium-High rather than High specifically because of the greenfield ramp-up cash burn risk and key-man concentration - both are real, quantified risks (not vague), which argues for a meaningful but not top-tier position size.</w:t>
      </w:r>
    </w:p>
    <w:p>
      <w:pPr>
        <w:spacing w:after="160"/>
      </w:pPr>
      <w:r>
        <w:rPr>
          <w:b/>
          <w:bCs/>
          <w:color w:val="A32020"/>
          <w:sz w:val="20"/>
          <w:szCs w:val="20"/>
        </w:rPr>
        <w:t xml:space="preserve">Watch for (thesis-breakers): </w:t>
      </w:r>
      <w:r>
        <w:rPr>
          <w:sz w:val="20"/>
          <w:szCs w:val="20"/>
        </w:rPr>
        <w:t xml:space="preserve">Raipur/Ranchi hospital breakeven timelines actually landing within the 15-18 month guided window; any news on succession/depth beyond the two founder-doctors; whether the EV/EBITDA discount to peers actually narrows as more investors discover the story.</w:t>
      </w:r>
    </w:p>
    <w:p>
      <w:pPr>
        <w:spacing w:after="40" w:before="240"/>
      </w:pPr>
      <w:r>
        <w:rPr>
          <w:b/>
          <w:bCs/>
          <w:sz w:val="26"/>
          <w:szCs w:val="26"/>
        </w:rPr>
        <w:t xml:space="preserve">RNIT AI Solutions Ltd</w:t>
      </w:r>
      <w:r>
        <w:rPr>
          <w:b/>
          <w:bCs/>
          <w:color w:val="8A6D00"/>
          <w:sz w:val="20"/>
          <w:szCs w:val="20"/>
        </w:rPr>
        <w:t xml:space="preserve">  —  6% allocation  |  Conviction: Medium (capped)</w:t>
      </w:r>
    </w:p>
    <w:p>
      <w:pPr>
        <w:spacing w:after="100"/>
      </w:pPr>
      <w:r>
        <w:rPr>
          <w:i/>
          <w:iCs/>
          <w:color w:val="666666"/>
          <w:sz w:val="20"/>
          <w:szCs w:val="20"/>
        </w:rPr>
        <w:t xml:space="preserve">AI-based facial recognition SaaS for Indian government, BSE 517286</w:t>
      </w:r>
    </w:p>
    <w:p>
      <w:pPr>
        <w:spacing w:after="120"/>
      </w:pPr>
      <w:r>
        <w:t xml:space="preserve">Independently verified growth (revenue +59.8%, EBITDA +108.7%, margin to 41.7%), differentiated government-scale FRS SaaS niche (3bn+ ID verifications processed).</w:t>
      </w:r>
    </w:p>
    <w:p>
      <w:pPr>
        <w:spacing w:after="100"/>
      </w:pPr>
      <w:r>
        <w:rPr>
          <w:b/>
          <w:bCs/>
          <w:sz w:val="20"/>
          <w:szCs w:val="20"/>
        </w:rPr>
        <w:t xml:space="preserve">New from deeper research: </w:t>
      </w:r>
      <w:r>
        <w:rPr>
          <w:sz w:val="20"/>
          <w:szCs w:val="20"/>
        </w:rPr>
        <w:t xml:space="preserve">Promoter holding jumped sharply from 52.28% to 73.74% in the most recent quarter - almost certainly related to the BSE main-board relisting and amalgamation already noted in the original research (group entities being folded into the listed shell), but this wasn't independently confirmed as the specific mechanism and is flagged here rather than assumed benign. New contract win disclosed: two work orders from SBTET Andhra Pradesh (routine-sized, but confirms continued government pipeline). No dedicated ValuePickr thread was found for this name in either research pass - it remains under-covered by the independent community, which cuts both ways (less scrutiny, but also less validation).</w:t>
      </w:r>
    </w:p>
    <w:p>
      <w:pPr>
        <w:spacing w:after="100"/>
      </w:pPr>
      <w:r>
        <w:rPr>
          <w:b/>
          <w:bCs/>
          <w:sz w:val="20"/>
          <w:szCs w:val="20"/>
        </w:rPr>
        <w:t xml:space="preserve">Why this weight: </w:t>
      </w:r>
      <w:r>
        <w:rPr>
          <w:sz w:val="20"/>
          <w:szCs w:val="20"/>
        </w:rPr>
        <w:t xml:space="preserve">v2: cut from 12% to 6% (smallest position in the book). The underlying growth numbers are genuinely strong and independently verified, but on reflection the unexplained 52.28%-to-73.74% promoter-holding jump deserved more weight in sizing than v1 gave it - combined with single-state/government-client concentration (Andhra Pradesh SBTET specifically named as a concentration risk) and no independent ValuePickr thread to triangulate against, this is capped at a starter-size position until the ownership change gets a clear public explanation.</w:t>
      </w:r>
    </w:p>
    <w:p>
      <w:pPr>
        <w:spacing w:after="160"/>
      </w:pPr>
      <w:r>
        <w:rPr>
          <w:b/>
          <w:bCs/>
          <w:color w:val="A32020"/>
          <w:sz w:val="20"/>
          <w:szCs w:val="20"/>
        </w:rPr>
        <w:t xml:space="preserve">Watch for (thesis-breakers): </w:t>
      </w:r>
      <w:r>
        <w:rPr>
          <w:sz w:val="20"/>
          <w:szCs w:val="20"/>
        </w:rPr>
        <w:t xml:space="preserve">A clear public explanation of the 52%-to-74% promoter stake jump (annual report/exchange filing should clarify the mechanism); diversification beyond Andhra Pradesh government contracts; any emergence of independent ValuePickr/analyst coverage that would allow better triangulation.</w:t>
      </w:r>
    </w:p>
    <w:p>
      <w:pPr>
        <w:spacing w:after="40" w:before="240"/>
      </w:pPr>
      <w:r>
        <w:rPr>
          <w:b/>
          <w:bCs/>
          <w:sz w:val="26"/>
          <w:szCs w:val="26"/>
        </w:rPr>
        <w:t xml:space="preserve">Novartis India Ltd</w:t>
      </w:r>
      <w:r>
        <w:rPr>
          <w:b/>
          <w:bCs/>
          <w:color w:val="3D7A1E"/>
          <w:sz w:val="20"/>
          <w:szCs w:val="20"/>
        </w:rPr>
        <w:t xml:space="preserve">  —  11% allocation  |  Conviction: Medium-High</w:t>
      </w:r>
    </w:p>
    <w:p>
      <w:pPr>
        <w:spacing w:after="100"/>
      </w:pPr>
      <w:r>
        <w:rPr>
          <w:i/>
          <w:iCs/>
          <w:color w:val="666666"/>
          <w:sz w:val="20"/>
          <w:szCs w:val="20"/>
        </w:rPr>
        <w:t xml:space="preserve">ChrysCapital PE buyout special situation | NSE: NOVARTIND</w:t>
      </w:r>
    </w:p>
    <w:p>
      <w:pPr>
        <w:spacing w:after="120"/>
      </w:pPr>
      <w:r>
        <w:t xml:space="preserve">The clearest, most specific catalyst in the dataset - ChrysCapital took control from Novartis AG (Jul 2026) with a named 'branded generics roll-up' strategy and a credible sponsor track record.</w:t>
      </w:r>
    </w:p>
    <w:p>
      <w:pPr>
        <w:spacing w:after="100"/>
      </w:pPr>
      <w:r>
        <w:rPr>
          <w:b/>
          <w:bCs/>
          <w:sz w:val="20"/>
          <w:szCs w:val="20"/>
        </w:rPr>
        <w:t xml:space="preserve">New from deeper research: </w:t>
      </w:r>
      <w:r>
        <w:rPr>
          <w:sz w:val="20"/>
          <w:szCs w:val="20"/>
        </w:rPr>
        <w:t xml:space="preserve">Concrete transformation steps now confirmed: Board approved ESOP 2026 and a new Articles of Association (Aug 7, 2026) - standard governance moves when a PE sponsor takes operational control. The legacy Dr. Reddy's Laboratories (DRL) agreement is being terminated effective Sep 30, 2026 - a real, dated step in disentangling from the old structure. ValuePickr's own detailed take: this is a '24-36 month' transformation thesis (matching a 2-3 year investment horizon well), but the community explicitly flags the current price already carries a 'ChrysCapital premium' - the stock traded up to ~Rs 1,600-1,667 (P/E ~40x) versus the Rs 860.64 open-offer price, meaning a large part of the re-rating for successful execution is already reflected before any M&amp;A roll-up has actually happened.</w:t>
      </w:r>
    </w:p>
    <w:p>
      <w:pPr>
        <w:spacing w:after="100"/>
      </w:pPr>
      <w:r>
        <w:rPr>
          <w:b/>
          <w:bCs/>
          <w:sz w:val="20"/>
          <w:szCs w:val="20"/>
        </w:rPr>
        <w:t xml:space="preserve">Why this weight: </w:t>
      </w:r>
      <w:r>
        <w:rPr>
          <w:sz w:val="20"/>
          <w:szCs w:val="20"/>
        </w:rPr>
        <w:t xml:space="preserve">v2: raised from 10% to 11%. This remains the single clearest, most specific catalyst in the entire 108-stock research pool - a named PE sponsor with a dated roll-up strategy and governance steps already executed, not a hoped-for re-rating. 'Clearest catalyst' and 'best risk-reward from today's price' are still different things - at ~40x earnings with the easy re-rating already captured, the remaining return depends on ChrysCapital actually executing the roll-up - but on reflection this was undersized relative to weaker-evidenced names in v1, funded here by trimming Asahi Songwon and Macpower slightly.</w:t>
      </w:r>
    </w:p>
    <w:p>
      <w:pPr>
        <w:spacing w:after="160"/>
      </w:pPr>
      <w:r>
        <w:rPr>
          <w:b/>
          <w:bCs/>
          <w:color w:val="A32020"/>
          <w:sz w:val="20"/>
          <w:szCs w:val="20"/>
        </w:rPr>
        <w:t xml:space="preserve">Watch for (thesis-breakers): </w:t>
      </w:r>
      <w:r>
        <w:rPr>
          <w:sz w:val="20"/>
          <w:szCs w:val="20"/>
        </w:rPr>
        <w:t xml:space="preserve">First disclosed acquisition under the 'string of pearls' strategy (the actual test of the thesis); rebranding progress as the DRL agreement lapses (Sep 30, 2026); whether reported earnings growth is organic or M&amp;A-driven, since the latter is a re-rating risk if overpaid.</w:t>
      </w:r>
    </w:p>
    <w:p>
      <w:pPr>
        <w:spacing w:after="40" w:before="240"/>
      </w:pPr>
      <w:r>
        <w:rPr>
          <w:b/>
          <w:bCs/>
          <w:sz w:val="26"/>
          <w:szCs w:val="26"/>
        </w:rPr>
        <w:t xml:space="preserve">Haldyn Glass Ltd</w:t>
      </w:r>
      <w:r>
        <w:rPr>
          <w:b/>
          <w:bCs/>
          <w:color w:val="8A6D00"/>
          <w:sz w:val="20"/>
          <w:szCs w:val="20"/>
        </w:rPr>
        <w:t xml:space="preserve">  —  7% allocation  |  Conviction: Medium</w:t>
      </w:r>
    </w:p>
    <w:p>
      <w:pPr>
        <w:spacing w:after="100"/>
      </w:pPr>
      <w:r>
        <w:rPr>
          <w:i/>
          <w:iCs/>
          <w:color w:val="666666"/>
          <w:sz w:val="20"/>
          <w:szCs w:val="20"/>
        </w:rPr>
        <w:t xml:space="preserve">Glass container/packaging manufacturer | BSE: 515147</w:t>
      </w:r>
    </w:p>
    <w:p>
      <w:pPr>
        <w:spacing w:after="120"/>
      </w:pPr>
      <w:r>
        <w:t xml:space="preserve">Confirmed, significant outperformance (+19.4% YTD vs Sensex -9.7%), independently corroborated by repeated MarketsMojo 'valuation attractiveness' coverage.</w:t>
      </w:r>
    </w:p>
    <w:p>
      <w:pPr>
        <w:spacing w:after="100"/>
      </w:pPr>
      <w:r>
        <w:rPr>
          <w:b/>
          <w:bCs/>
          <w:sz w:val="20"/>
          <w:szCs w:val="20"/>
        </w:rPr>
        <w:t xml:space="preserve">New from deeper research: </w:t>
      </w:r>
      <w:r>
        <w:rPr>
          <w:sz w:val="20"/>
          <w:szCs w:val="20"/>
        </w:rPr>
        <w:t xml:space="preserve">Q1 FY27 consolidated net profit +90% YoY to Rs 10.26 Cr. Stock now trading near its 52-week high (~Rs 131 vs a Rs 137.65 high), having rallied from a Rs 70.40 low - meaning it's already up roughly 86% from that low. MarketsMojo downgraded its valuation grade from 'very attractive' to 'attractive' on 31 July 2026, explicitly citing 'narrowing margin of safety' after the price run - still a Buy with a strong Mojo Score (72.0), but the easiest money here looks to have already been made.</w:t>
      </w:r>
    </w:p>
    <w:p>
      <w:pPr>
        <w:spacing w:after="100"/>
      </w:pPr>
      <w:r>
        <w:rPr>
          <w:b/>
          <w:bCs/>
          <w:sz w:val="20"/>
          <w:szCs w:val="20"/>
        </w:rPr>
        <w:t xml:space="preserve">Why this weight: </w:t>
      </w:r>
      <w:r>
        <w:rPr>
          <w:sz w:val="20"/>
          <w:szCs w:val="20"/>
        </w:rPr>
        <w:t xml:space="preserve">Medium: the fundamentals remain genuinely good and independently confirmed, but sizing is capped below the top tier specifically because the valuation cushion that made this attractive in the original screen has visibly compressed - buying near a 52-week high on a name that already ran 86% requires more conviction in continued acceleration, not just continuation of the existing trend.</w:t>
      </w:r>
    </w:p>
    <w:p>
      <w:pPr>
        <w:spacing w:after="160"/>
      </w:pPr>
      <w:r>
        <w:rPr>
          <w:b/>
          <w:bCs/>
          <w:color w:val="A32020"/>
          <w:sz w:val="20"/>
          <w:szCs w:val="20"/>
        </w:rPr>
        <w:t xml:space="preserve">Watch for (thesis-breakers): </w:t>
      </w:r>
      <w:r>
        <w:rPr>
          <w:sz w:val="20"/>
          <w:szCs w:val="20"/>
        </w:rPr>
        <w:t xml:space="preserve">Whether Q2/Q3 FY27 can match the Q1 profit growth rate or whether comparisons get harder; any further MarketsMojo valuation downgrades (a move to 'fair' or 'expensive' would be a real signal); insider/promoter selling into strength.</w:t>
      </w:r>
    </w:p>
    <w:p>
      <w:pPr>
        <w:spacing w:after="40" w:before="240"/>
      </w:pPr>
      <w:r>
        <w:rPr>
          <w:b/>
          <w:bCs/>
          <w:sz w:val="26"/>
          <w:szCs w:val="26"/>
        </w:rPr>
        <w:t xml:space="preserve">Bansal Roofing Products Ltd</w:t>
      </w:r>
      <w:r>
        <w:rPr>
          <w:b/>
          <w:bCs/>
          <w:color w:val="8A6D00"/>
          <w:sz w:val="20"/>
          <w:szCs w:val="20"/>
        </w:rPr>
        <w:t xml:space="preserve">  —  8% allocation  |  Conviction: Medium</w:t>
      </w:r>
    </w:p>
    <w:p>
      <w:pPr>
        <w:spacing w:after="100"/>
      </w:pPr>
      <w:r>
        <w:rPr>
          <w:i/>
          <w:iCs/>
          <w:color w:val="666666"/>
          <w:sz w:val="20"/>
          <w:szCs w:val="20"/>
        </w:rPr>
        <w:t xml:space="preserve">Pre-Engineered Building (PEB) structures/roofing | BSE 538546</w:t>
      </w:r>
    </w:p>
    <w:p>
      <w:pPr>
        <w:spacing w:after="120"/>
      </w:pPr>
      <w:r>
        <w:t xml:space="preserve">ROCE 34%, ROE 28%, accelerating growth (Q1 FY27: +27% sales, +32% PAT), real disclosed order wins, genuine ValuePickr thread ('Pre-engineered for growth').</w:t>
      </w:r>
    </w:p>
    <w:p>
      <w:pPr>
        <w:spacing w:after="100"/>
      </w:pPr>
      <w:r>
        <w:rPr>
          <w:b/>
          <w:bCs/>
          <w:sz w:val="20"/>
          <w:szCs w:val="20"/>
        </w:rPr>
        <w:t xml:space="preserve">New from deeper research: </w:t>
      </w:r>
      <w:r>
        <w:rPr>
          <w:sz w:val="20"/>
          <w:szCs w:val="20"/>
        </w:rPr>
        <w:t xml:space="preserve">Materially more mixed picture on deeper review. FY25 full-year revenue actually DECLINED 8.54% (Rs 105.79 Cr to Rs 96.75 Cr) even though net profit rose 56.19% - meaning the strong Q1 FY27 quarter is a recent inflection against a genuinely weak prior year, not a continuation of sustained growth. The ValuePickr thread itself raises real, specific concerns: the planned capacity expansion from 600MT to 2000MT/year 'has not gathered any pace' per one community member, the PEB industry is compared unfavorably to Everest Industries on structural margin limits, there is no long-term raw-material contract (full exposure to steel price swings - FY24 saw revenue decline quarter-over-quarter on steel deflation), and new competitors are entering the Gujarat PEB market. Promoter holding has also drifted very slightly down (73.32% to 73.28%), described by one tracking source as promoters 'not being bullish' and selling in the open market, though the magnitude (-0.05pp) is minor.</w:t>
      </w:r>
    </w:p>
    <w:p>
      <w:pPr>
        <w:spacing w:after="100"/>
      </w:pPr>
      <w:r>
        <w:rPr>
          <w:b/>
          <w:bCs/>
          <w:sz w:val="20"/>
          <w:szCs w:val="20"/>
        </w:rPr>
        <w:t xml:space="preserve">Why this weight: </w:t>
      </w:r>
      <w:r>
        <w:rPr>
          <w:sz w:val="20"/>
          <w:szCs w:val="20"/>
        </w:rPr>
        <w:t xml:space="preserve">Lowest weight in the portfolio, at Medium conviction rather than High, specifically because the deeper pass surfaced real, community-sourced execution risk (stalled capacity expansion, structural margin ceiling, commodity exposure) sitting directly underneath an attractive single quarter. This is exactly the kind of name where the original lean-method research would have overstated conviction without the follow-up read.</w:t>
      </w:r>
    </w:p>
    <w:p>
      <w:pPr>
        <w:spacing w:after="160"/>
      </w:pPr>
      <w:r>
        <w:rPr>
          <w:b/>
          <w:bCs/>
          <w:color w:val="A32020"/>
          <w:sz w:val="20"/>
          <w:szCs w:val="20"/>
        </w:rPr>
        <w:t xml:space="preserve">Watch for (thesis-breakers): </w:t>
      </w:r>
      <w:r>
        <w:rPr>
          <w:sz w:val="20"/>
          <w:szCs w:val="20"/>
        </w:rPr>
        <w:t xml:space="preserve">Whether the 600MT-to-2000MT capacity expansion actually shows visible progress (this is the single most important thing to verify before adding to this position); Q2/Q3 FY27 results confirming Q1 wasn't a one-off; steel price trends given the lack of long-term raw-material contracts; any further promoter selling.</w:t>
      </w:r>
    </w:p>
    <w:p>
      <w:pPr>
        <w:pStyle w:val="Heading1"/>
        <w:spacing w:after="140" w:before="320"/>
      </w:pPr>
      <w:r>
        <w:rPr>
          <w:b/>
          <w:bCs/>
          <w:color w:val="1F4E5F"/>
          <w:sz w:val="30"/>
          <w:szCs w:val="30"/>
        </w:rPr>
        <w:t xml:space="preserve">Risk Management &amp; Monitoring Plan</w:t>
      </w:r>
    </w:p>
    <w:p>
      <w:pPr>
        <w:pStyle w:val="ListParagraph"/>
        <w:numPr>
          <w:ilvl w:val="0"/>
          <w:numId w:val="1"/>
        </w:numPr>
        <w:spacing w:after="80"/>
      </w:pPr>
      <w:r>
        <w:t xml:space="preserve">~14% is held as cash rather than fully deployed - this is dry powder for two specific uses: averaging into a position after its 'watch for' item is confirmed by an actual quarterly result, or absorbing a single-name shock (e.g. an RNIT-style unexplained ownership change turning out badly) without being forced to sell a different, still-sound position to raise cash.</w:t>
      </w:r>
    </w:p>
    <w:p>
      <w:pPr>
        <w:pStyle w:val="ListParagraph"/>
        <w:numPr>
          <w:ilvl w:val="0"/>
          <w:numId w:val="1"/>
        </w:numPr>
        <w:spacing w:after="80"/>
      </w:pPr>
      <w:r>
        <w:t xml:space="preserve">No single equity position exceeds 16% of the portfolio - even the highest-conviction names are capped, because every stock here is a microcap/smallcap with real single-name blow-up risk (illiquidity, one bad quarter, an unexpected governance issue).</w:t>
      </w:r>
    </w:p>
    <w:p>
      <w:pPr>
        <w:pStyle w:val="ListParagraph"/>
        <w:numPr>
          <w:ilvl w:val="0"/>
          <w:numId w:val="1"/>
        </w:numPr>
        <w:spacing w:after="80"/>
      </w:pPr>
      <w:r>
        <w:t xml:space="preserve">This portfolio deliberately excludes anything from the AVOID list (Kerala Ayurveda, Galaxy Supermarket, JITF Infra Logistics, AVI Polymers, Technvision Ventures, Alan Scott, Samkrg Pistons, High Energy Batteries, Vaxfab, and the confirmed-fraud Darjeeling Industries) regardless of any short-term price momentum they might show - governance and solvency red flags are treated as disqualifying, not as a factor to weigh against upside.</w:t>
      </w:r>
    </w:p>
    <w:p>
      <w:pPr>
        <w:pStyle w:val="ListParagraph"/>
        <w:numPr>
          <w:ilvl w:val="0"/>
          <w:numId w:val="1"/>
        </w:numPr>
        <w:spacing w:after="80"/>
      </w:pPr>
      <w:r>
        <w:t xml:space="preserve">Set a calendar reminder to re-read each company's next quarterly result against the specific 'watch for' item listed for it above - this portfolio was built on public data with real gaps (e.g. RNIT's promoter-holding jump, Bansal Roofing's stalled capex), and the next results are what will confirm or break each thesis.</w:t>
      </w:r>
    </w:p>
    <w:p>
      <w:pPr>
        <w:pStyle w:val="ListParagraph"/>
        <w:numPr>
          <w:ilvl w:val="0"/>
          <w:numId w:val="1"/>
        </w:numPr>
        <w:spacing w:after="80"/>
      </w:pPr>
      <w:r>
        <w:t xml:space="preserve">Consider trimming (not necessarily exiting) any position that runs up sharply before its underlying numbers catch up - Haldyn Glass is already showing this pattern (up 86% from its low, valuation grade downgraded) and is sized accordingly below the top tier.</w:t>
      </w:r>
    </w:p>
    <w:p>
      <w:pPr>
        <w:pStyle w:val="ListParagraph"/>
        <w:numPr>
          <w:ilvl w:val="0"/>
          <w:numId w:val="1"/>
        </w:numPr>
        <w:spacing w:after="80"/>
      </w:pPr>
      <w:r>
        <w:t xml:space="preserve">This is equity capital that should be treated as fully at risk over a 3-year-plus horizon - none of these are suitable for money needed in the near term, and a genuine small-cap sector drawdown (which happens periodically in Indian markets) would likely hit all 8 names to some degree simultaneously despite the sector spread.</w:t>
      </w:r>
    </w:p>
    <w:p>
      <w:pPr>
        <w:pStyle w:val="Heading1"/>
        <w:spacing w:after="140" w:before="320"/>
      </w:pPr>
      <w:r>
        <w:rPr>
          <w:b/>
          <w:bCs/>
          <w:color w:val="1F4E5F"/>
          <w:sz w:val="30"/>
          <w:szCs w:val="30"/>
        </w:rPr>
        <w:t xml:space="preserve">What Would Change This Allocation</w:t>
      </w:r>
    </w:p>
    <w:p>
      <w:pPr>
        <w:spacing w:after="120"/>
      </w:pPr>
      <w:r>
        <w:t xml:space="preserve">Revisit this allocation after each name's next 1-2 quarterly results, not on a fixed calendar schedule. Specific triggers to increase conviction/weight: Macpower or Dynamic Cables delivering on their explicit forward guidance; Bansal Roofing showing actual capacity-expansion progress; RNIT AI's promoter-holding change getting a clear public explanation that isn't concerning. Triggers to reduce or exit a position: any promoter pledge appearing where there was none before; a MarketsMojo-style 'masks deeper concerns' headline on any of these names (as seen elsewhere in this research on Go Fashion, Galaxy Supermarket, AVI Polymers); Novartis India's actual M&amp;A execution showing overpayment or integration problems; any of these names showing the AVI-Polymers pattern of a sharp promoter stake reduction alongside unusually strong reported numbers.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Position sizing, conviction levels, and price levels reflect judgment calls made from public data at research time and are not guarantees of any outcome. Past performance and forum sentiment are not indicators of future returns. Do your own due diligence, verify all current prices and filings, and consult a licensed advisor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2026-09-05T14:13:09.851Z</dcterms:created>
  <dcterms:modified xsi:type="dcterms:W3CDTF">2026-09-05T14:13:09.852Z</dcterms:modified>
</cp:coreProperties>
</file>

<file path=docProps/custom.xml><?xml version="1.0" encoding="utf-8"?>
<Properties xmlns="http://schemas.openxmlformats.org/officeDocument/2006/custom-properties" xmlns:vt="http://schemas.openxmlformats.org/officeDocument/2006/docPropsVTypes"/>
</file>