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BESS</w:t>
      </w:r>
    </w:p>
    <w:p>
      <w:pPr>
        <w:pBdr>
          <w:bottom w:val="single" w:color="CCCCCC" w:sz="6" w:space="8"/>
        </w:pBdr>
        <w:spacing w:after="200"/>
      </w:pPr>
      <w:r>
        <w:rPr>
          <w:i/>
          <w:iCs/>
          <w:color w:val="666666"/>
          <w:sz w:val="22"/>
          <w:szCs w:val="22"/>
        </w:rPr>
        <w:t xml:space="preserve">Thematic BESS/storage thread -- genuine, well-evidenced sector tailwind (CEA 411.4 GWh FY32 target, Rs5,400cr VGF tranche-2) but still unresolved to one entity; 4 of 5 named proxies already have dedicated entries elsewhere in this project</w:t>
      </w:r>
    </w:p>
    <w:p>
      <w:pPr>
        <w:shd w:fill="FFF0F0" w:val="clear"/>
        <w:spacing w:after="200"/>
      </w:pPr>
      <w:r>
        <w:rPr>
          <w:b/>
          <w:bCs/>
          <w:color w:val="1E7A34"/>
          <w:sz w:val="22"/>
          <w:szCs w:val="22"/>
        </w:rPr>
        <w:t xml:space="preserve">RED FLAG TIER: CLEAR — </w:t>
      </w:r>
      <w:r>
        <w:rPr>
          <w:sz w:val="20"/>
          <w:szCs w:val="20"/>
        </w:rPr>
        <w:t xml:space="preserve"/>
      </w:r>
    </w:p>
    <w:p>
      <w:pPr>
        <w:pStyle w:val="Heading1"/>
        <w:spacing w:after="120" w:before="280"/>
      </w:pPr>
      <w:r>
        <w:t xml:space="preserve">Business Overview</w:t>
      </w:r>
    </w:p>
    <w:p>
      <w:pPr>
        <w:spacing w:after="120"/>
      </w:pPr>
      <w:r>
        <w:t xml:space="preserve">This queue entry tracks a ValuePickr thematic thread on India's battery energy storage (BESS) buildout and whether solar+BESS round-the-clock (RTC) / firm-dispatchable (FDRE) structures threaten or replace discom-style peaking power. It is not a single listed company -- a prior pass (2026-09-26 four-box correction) already flagged it as 'a thematic placeholder not a single ticker.' This full-dive pass confirms that remains the case: the thread's named proxies (ACME Solar, KPI Green Energy, Pace Digitek, Enviro Infra Engineers, Inox Wind/Inox Green/Inox Clean Energy) span fundamentally different business models -- IPP/asset-owners (ACME Solar, KPI Green via Sun Drops Energia, Inox Clean via the Vena Energy India acquisition) versus EPC/equipment suppliers (Pace Digitek, Enviro Infra) -- and cannot be scored as one entity.</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Entity type</w:t>
            </w:r>
          </w:p>
        </w:tc>
        <w:tc>
          <w:tcPr>
            <w:tcW w:type="dxa" w:w="5800"/>
          </w:tcPr>
          <w:p>
            <w:r>
              <w:t xml:space="preserve">Thematic/basket thread, not one listed company</w:t>
            </w:r>
          </w:p>
        </w:tc>
      </w:tr>
      <w:tr>
        <w:tc>
          <w:tcPr>
            <w:tcW w:type="dxa" w:w="3200"/>
            <w:shd w:fill="F2F2F2" w:val="clear"/>
          </w:tcPr>
          <w:p>
            <w:r>
              <w:rPr>
                <w:b/>
                <w:bCs/>
              </w:rPr>
              <w:t xml:space="preserve">CEA FY32 storage target</w:t>
            </w:r>
          </w:p>
        </w:tc>
        <w:tc>
          <w:tcPr>
            <w:tcW w:type="dxa" w:w="5800"/>
          </w:tcPr>
          <w:p>
            <w:r>
              <w:t xml:space="preserve">411.4 GWh total (236.2 GWh BESS + 175.2 GWh pumped hydro); ~Rs2.65 lakh cr implied BESS capex need</w:t>
            </w:r>
          </w:p>
        </w:tc>
      </w:tr>
      <w:tr>
        <w:tc>
          <w:tcPr>
            <w:tcW w:type="dxa" w:w="3200"/>
            <w:shd w:fill="F2F2F2" w:val="clear"/>
          </w:tcPr>
          <w:p>
            <w:r>
              <w:rPr>
                <w:b/>
                <w:bCs/>
              </w:rPr>
              <w:t xml:space="preserve">VGF scheme</w:t>
            </w:r>
          </w:p>
        </w:tc>
        <w:tc>
          <w:tcPr>
            <w:tcW w:type="dxa" w:w="5800"/>
          </w:tcPr>
          <w:p>
            <w:r>
              <w:t xml:space="preserve">Tranche-1 (6-Sep-2023): Rs9,400cr outlay / Rs3,760cr budgetary VGF (up to 40% of project capex); Tranche-2 (14-May-2026): Rs5,400cr for 30 GWh (25 GWh across 15 states, 5 GWh to NTPC)</w:t>
            </w:r>
          </w:p>
        </w:tc>
      </w:tr>
      <w:tr>
        <w:tc>
          <w:tcPr>
            <w:tcW w:type="dxa" w:w="3200"/>
            <w:shd w:fill="F2F2F2" w:val="clear"/>
          </w:tcPr>
          <w:p>
            <w:r>
              <w:rPr>
                <w:b/>
                <w:bCs/>
              </w:rPr>
              <w:t xml:space="preserve">2025 tendering vs commissioning gap</w:t>
            </w:r>
          </w:p>
        </w:tc>
        <w:tc>
          <w:tcPr>
            <w:tcW w:type="dxa" w:w="5800"/>
          </w:tcPr>
          <w:p>
            <w:r>
              <w:t xml:space="preserve">~69 BESS tenders (~102 GWh) floated in 2025; cumulative commissioned capacity only 758.4 MWh by end-2025 -- a large sector-wide execution gap</w:t>
            </w:r>
          </w:p>
        </w:tc>
      </w:tr>
      <w:tr>
        <w:tc>
          <w:tcPr>
            <w:tcW w:type="dxa" w:w="3200"/>
            <w:shd w:fill="F2F2F2" w:val="clear"/>
          </w:tcPr>
          <w:p>
            <w:r>
              <w:rPr>
                <w:b/>
                <w:bCs/>
              </w:rPr>
              <w:t xml:space="preserve">Named proxies in this thread</w:t>
            </w:r>
          </w:p>
        </w:tc>
        <w:tc>
          <w:tcPr>
            <w:tcW w:type="dxa" w:w="5800"/>
          </w:tcPr>
          <w:p>
            <w:r>
              <w:t xml:space="preserve">ACME Solar (4.96 GWh operational BESS, Rajasthan FDRE/assured-peak-power projects); KPI Green Energy (565 MW/1,130 MWh executed standalone BESS + 600 MW/~Rs1,050cr RTC LOI); Pace Digitek (Rs11,338cr order book incl. 5.32 GWh storage pipeline); Enviro Infra Engineers (930 MWh/~Rs1,070cr NTPC BESS EPC orders, water-treatment core business); Inox Wind/Inox Clean Energy (1.2-2.5 GWh BESS via the Vena Energy India acquisition)</w:t>
            </w:r>
          </w:p>
        </w:tc>
      </w:tr>
    </w:tbl>
    <w:p>
      <w:pPr>
        <w:spacing w:after="100"/>
      </w:pPr>
    </w:p>
    <w:p>
      <w:pPr>
        <w:spacing w:after="120"/>
      </w:pPr>
      <w:r>
        <w:t xml:space="preserve">The policy/funding backdrop is real and accelerating, not speculative: CEA's FY32 plan calls for 411.4 GWh of total storage (236.2 GWh BESS), government VGF support was extended via a second Rs5,400cr/30 GWh tranche on 14-May-2026 (on top of the original Sep-2023 Rs9,400cr tranche), and genuine commissioning activity is now visible -- ACME Solar alone reached 4.96 GWh of operational BESS capacity through 2026, with FDRE/assured-peak-power project structures that map directly onto this thread's own RTC/FDRE framing. But execution still lags intent industry-wide (~69 tenders/~102 GWh floated in 2025 vs just 758.4 MWh actually commissioned by year-end), and the thread itself resolves to at least 5 companies with different business models and risk profiles, so no single fundamentals_table can represent 'the' investment.</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2026-10-01.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CEA/VGF policy coverage (IMPRI, JMK Research, EnkiAI, IEEFA, Anantam IAS): FY32 411.4 GWh total storage target (236.2 GWh BESS), VGF Tranche-1 (2023, Rs9,400cr) and Tranche-2 (14-May-2026, Rs5,400cr/30GWh) details, 2025 tendering-vs-commissioning gap</w:t>
      </w:r>
    </w:p>
    <w:p>
      <w:pPr>
        <w:pStyle w:val="ListParagraph"/>
        <w:numPr>
          <w:ilvl w:val="0"/>
          <w:numId w:val="1"/>
        </w:numPr>
        <w:spacing w:after="60"/>
      </w:pPr>
      <w:r>
        <w:t xml:space="preserve">ACME Solar BESS commissioning coverage (SolarQuarter, pv-magazine India, multiple 2026 releases): cumulative 4.96 GWh operational BESS capacity, FDRE + assured-peak-power project structures in Rajasthan</w:t>
      </w:r>
    </w:p>
    <w:p>
      <w:pPr>
        <w:pStyle w:val="ListParagraph"/>
        <w:numPr>
          <w:ilvl w:val="0"/>
          <w:numId w:val="1"/>
        </w:numPr>
        <w:spacing w:after="60"/>
      </w:pPr>
      <w:r>
        <w:t xml:space="preserve">KPI Green Energy / Sun Drops Energia BESS coverage (energetica-india, psuconnect, powerpeakdigest, saurenergy): GUVNL 445MW/890MWh LOI, 120MW/240MWh BESPA, cumulative 565MW/1,130MWh executed, 600MW/~Rs1,050cr RTC LOI with FVE Lifecare</w:t>
      </w:r>
    </w:p>
    <w:p>
      <w:pPr>
        <w:pStyle w:val="ListParagraph"/>
        <w:numPr>
          <w:ilvl w:val="0"/>
          <w:numId w:val="1"/>
        </w:numPr>
        <w:spacing w:after="60"/>
      </w:pPr>
      <w:r>
        <w:t xml:space="preserve">Pace Digitek order-book coverage (SolarQuarter, business-standard, energetica-india, whalesbook): Rs11,338cr total order book incl. 5.32 GWh storage pipeline, DVC/NTPC-GE/Kalpa Power BESS orders, 2.5-&gt;10 GWh manufacturing capacity expansion plan</w:t>
      </w:r>
    </w:p>
    <w:p>
      <w:pPr>
        <w:pStyle w:val="ListParagraph"/>
        <w:numPr>
          <w:ilvl w:val="0"/>
          <w:numId w:val="1"/>
        </w:numPr>
        <w:spacing w:after="60"/>
      </w:pPr>
      <w:r>
        <w:t xml:space="preserve">Enviro Infra Engineers BESS-entry coverage (pv-magazine India, SolarQuarter, energetica-india, businessworld): 930 MWh/~Rs1,070cr NTPC BESS EPC orders, Bihar BESS stake, order book past Rs4,600cr, core business remains water/wastewater treatment</w:t>
      </w:r>
    </w:p>
    <w:p>
      <w:pPr>
        <w:pStyle w:val="ListParagraph"/>
        <w:numPr>
          <w:ilvl w:val="0"/>
          <w:numId w:val="1"/>
        </w:numPr>
        <w:spacing w:after="60"/>
      </w:pPr>
      <w:r>
        <w:t xml:space="preserve">Inox Wind/Inox Clean Energy coverage (SolarQuarter, multibagg, yahoo finance Q2 FY26 transcript): Vena Energy India acquisition adding ~1.2-2.5 GWh BESS capacity, FDRE/RTC-hybrid sector commentary</w:t>
      </w:r>
    </w:p>
    <w:p>
      <w:pPr>
        <w:spacing w:after="120"/>
      </w:pPr>
      <w:r>
        <w:rPr>
          <w:b/>
          <w:bCs/>
          <w:sz w:val="20"/>
          <w:szCs w:val="20"/>
        </w:rPr>
        <w:t xml:space="preserve">Annual-report findings (3-year view):</w:t>
      </w:r>
    </w:p>
    <w:p>
      <w:pPr>
        <w:pStyle w:val="ListParagraph"/>
        <w:numPr>
          <w:ilvl w:val="0"/>
          <w:numId w:val="1"/>
        </w:numPr>
        <w:spacing w:after="60"/>
      </w:pPr>
      <w:r>
        <w:t xml:space="preserve">Not applicable this pass -- the data file represents a thematic thread, not a single company, so there is no single annual report to read. Each named proxy (ACME Solar, KPI Green Energy, Pace Digitek, Enviro Infra Engineers, Inox Wind/Inox Green/Inox Clean) has its own filings; 4 of the 5 already have dedicated data-file entries in this project where that company-specific read belongs</w:t>
      </w:r>
    </w:p>
    <w:p>
      <w:pPr>
        <w:pStyle w:val="ListParagraph"/>
        <w:numPr>
          <w:ilvl w:val="0"/>
          <w:numId w:val="1"/>
        </w:numPr>
        <w:spacing w:after="60"/>
      </w:pPr>
      <w:r>
        <w:t xml:space="preserve">Government-level primary documents (CEA planning figures, Cabinet VGF approvals) were reviewed instead and are summarized in fundamentals_table/sector_kpis above</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Not applicable at the basket level -- see the dedicated entries for kpi-green-energy.json, pace-digitek.json and enviro-infra-engineers.json for company-specific quarterly trends</w:t>
      </w:r>
    </w:p>
    <w:p>
      <w:pPr>
        <w:pStyle w:val="ListParagraph"/>
        <w:numPr>
          <w:ilvl w:val="0"/>
          <w:numId w:val="1"/>
        </w:numPr>
        <w:spacing w:after="60"/>
      </w:pPr>
      <w:r>
        <w:t xml:space="preserve">Sector-level: commissioning activity visibly accelerated through 2026 (ACME Solar alone added four separate tranches of BESS capacity between May and October 2026, totalling well over 400 MWh in the most recent single announcement) -- the gap between 2025's tendering wave and actual commissioning is starting to close, though cumulative commissioned capacity (758.4 MWh at end-2025) is still a small fraction of the 236.2 GWh FY32 BESS target</w:t>
      </w:r>
    </w:p>
    <w:p>
      <w:pPr>
        <w:spacing w:after="120"/>
      </w:pPr>
      <w:r>
        <w:rPr>
          <w:b/>
          <w:bCs/>
          <w:sz w:val="20"/>
          <w:szCs w:val="20"/>
        </w:rPr>
        <w:t xml:space="preserve">Exchange announcements (last 6 months):</w:t>
      </w:r>
    </w:p>
    <w:p>
      <w:pPr>
        <w:pStyle w:val="ListParagraph"/>
        <w:numPr>
          <w:ilvl w:val="0"/>
          <w:numId w:val="1"/>
        </w:numPr>
        <w:spacing w:after="60"/>
      </w:pPr>
      <w:r>
        <w:t xml:space="preserve">14-May-2026: Union Cabinet approved VGF Tranche-2 -- Rs5,400cr from the Power System Development Fund for 30 GWh of new BESS capacity (25 GWh across 15 states, 5 GWh to NTPC)</w:t>
      </w:r>
    </w:p>
    <w:p>
      <w:pPr>
        <w:pStyle w:val="ListParagraph"/>
        <w:numPr>
          <w:ilvl w:val="0"/>
          <w:numId w:val="1"/>
        </w:numPr>
        <w:spacing w:after="60"/>
      </w:pPr>
      <w:r>
        <w:t xml:space="preserve">1-Oct-2026: ACME Solar commissioned a further 107.36 MW/437.49 MWh of BESS capacity in Rajasthan, taking cumulative operational BESS to 4.96 GWh</w:t>
      </w:r>
    </w:p>
    <w:p>
      <w:pPr>
        <w:pStyle w:val="ListParagraph"/>
        <w:numPr>
          <w:ilvl w:val="0"/>
          <w:numId w:val="1"/>
        </w:numPr>
        <w:spacing w:after="60"/>
      </w:pPr>
      <w:r>
        <w:t xml:space="preserve">2026 (multiple dates): KPI Green's Sun Drops Energia signed a 120MW/240MWh BESPA with GUVNL (cumulative executed 565MW/1,130MWh) and received a 600MW/~Rs1,050cr RTC LOI from FVE Lifecare</w:t>
      </w:r>
    </w:p>
    <w:p>
      <w:pPr>
        <w:pStyle w:val="ListParagraph"/>
        <w:numPr>
          <w:ilvl w:val="0"/>
          <w:numId w:val="1"/>
        </w:numPr>
        <w:spacing w:after="60"/>
      </w:pPr>
      <w:r>
        <w:t xml:space="preserve">8-May-2026: Pace Digitek secured a Rs702cr (250MW/500MWh) BESS order from Damodar Valley Corporation; subsidiary Lineage Power separately secured Rs488cr (NTPC GE Power Services) and Rs92.9cr (Kalpa Power) BESS orders through 2026</w:t>
      </w:r>
    </w:p>
    <w:p>
      <w:pPr>
        <w:pStyle w:val="ListParagraph"/>
        <w:numPr>
          <w:ilvl w:val="0"/>
          <w:numId w:val="1"/>
        </w:numPr>
        <w:spacing w:after="60"/>
      </w:pPr>
      <w:r>
        <w:t xml:space="preserve">2-Apr-2026: Enviro Infra Engineers entered the BESS segment with 930MWh/~Rs1,070cr EPC orders from NTPC across UP, Assam, Karnataka and Telangana; also developing a 37.5MW/150MWh BESS project in Bihar (~Rs150cr capex)</w:t>
      </w:r>
    </w:p>
    <w:p>
      <w:pPr>
        <w:pStyle w:val="ListParagraph"/>
        <w:numPr>
          <w:ilvl w:val="0"/>
          <w:numId w:val="1"/>
        </w:numPr>
        <w:spacing w:after="60"/>
      </w:pPr>
      <w:r>
        <w:t xml:space="preserve">3-Sep-2026: Inox Clean Energy announced the Vena Energy India acquisition, adding ~1GW operational renewable capacity + 1.2GWh BESS (plus 1.3GWh in development), targeting ~2.5GWh BESS post-transaction</w:t>
      </w:r>
    </w:p>
    <w:p>
      <w:pPr>
        <w:spacing w:after="120"/>
      </w:pPr>
      <w:r>
        <w:rPr>
          <w:b/>
          <w:bCs/>
          <w:sz w:val="20"/>
          <w:szCs w:val="20"/>
        </w:rPr>
        <w:t xml:space="preserve">Key new facts vs. the prior write-up:</w:t>
      </w:r>
    </w:p>
    <w:p>
      <w:pPr>
        <w:pStyle w:val="ListParagraph"/>
        <w:numPr>
          <w:ilvl w:val="0"/>
          <w:numId w:val="1"/>
        </w:numPr>
        <w:spacing w:after="60"/>
      </w:pPr>
      <w:r>
        <w:t xml:space="preserve">The second VGF tranche (Rs5,400cr/30GWh, approved 14-May-2026) is new since the prior pass and materially strengthens the sector tailwind case -- government funding commitment to BESS has roughly doubled in scale since the original 2023 tranche</w:t>
      </w:r>
    </w:p>
    <w:p>
      <w:pPr>
        <w:pStyle w:val="ListParagraph"/>
        <w:numPr>
          <w:ilvl w:val="0"/>
          <w:numId w:val="1"/>
        </w:numPr>
        <w:spacing w:after="60"/>
      </w:pPr>
      <w:r>
        <w:t xml:space="preserve">ACME Solar has emerged as the most directly on-theme proxy with real operational scale (4.96 GWh commissioned, explicit FDRE/assured-peak-power project naming that matches this thread's own title) -- and is the one named proxy with no dedicated entry elsewhere in this project</w:t>
      </w:r>
    </w:p>
    <w:p>
      <w:pPr>
        <w:pStyle w:val="ListParagraph"/>
        <w:numPr>
          <w:ilvl w:val="0"/>
          <w:numId w:val="1"/>
        </w:numPr>
        <w:spacing w:after="60"/>
      </w:pPr>
      <w:r>
        <w:t xml:space="preserve">4 of the 5 named proxies (KPI Green Energy, Pace Digitek, Enviro Infra Engineers, Inox Wind/Inox Green Energy Services) already have their own dedicated data-file entries in this project, confirmed by a direct file-listing check -- this basket entry substantially duplicates coverage that exists at the proper single-stock granularity elsewhere</w:t>
      </w:r>
    </w:p>
    <w:p>
      <w:pPr>
        <w:pStyle w:val="ListParagraph"/>
        <w:numPr>
          <w:ilvl w:val="0"/>
          <w:numId w:val="1"/>
        </w:numPr>
        <w:spacing w:after="60"/>
      </w:pPr>
      <w:r>
        <w:t xml:space="preserve">Industry-wide, 2025 tendering (~102 GWh across 69 tenders) vastly outpaced actual commissioning (758.4 MWh cumulative by end-2025) -- a ~130x gap between announced pipeline and delivered capacity, underscoring that execution risk (not policy support or demand) is the sector's real constraint</w:t>
      </w:r>
    </w:p>
    <w:p>
      <w:pPr>
        <w:spacing w:after="120"/>
      </w:pPr>
      <w:r>
        <w:rPr>
          <w:b/>
          <w:bCs/>
          <w:sz w:val="20"/>
          <w:szCs w:val="20"/>
        </w:rPr>
        <w:t xml:space="preserve">Open questions / what to watch:</w:t>
      </w:r>
    </w:p>
    <w:p>
      <w:pPr>
        <w:pStyle w:val="ListParagraph"/>
        <w:numPr>
          <w:ilvl w:val="0"/>
          <w:numId w:val="1"/>
        </w:numPr>
        <w:spacing w:after="60"/>
      </w:pPr>
      <w:r>
        <w:t xml:space="preserve">Should this thread entry be retired/merged now that 4 of 5 named proxies have dedicated entries, with only ACME Solar needing a genuinely new entry? Flagging for the coordinating session rather than deciding unilaterally this pass</w:t>
      </w:r>
    </w:p>
    <w:p>
      <w:pPr>
        <w:pStyle w:val="ListParagraph"/>
        <w:numPr>
          <w:ilvl w:val="0"/>
          <w:numId w:val="1"/>
        </w:numPr>
        <w:spacing w:after="60"/>
      </w:pPr>
      <w:r>
        <w:t xml:space="preserve">Company-specific Ishmohit-lens blocks (earnings_quality, growth_trajectory, management_quality, track_record, quality_metrics) are intentionally left null/absent this pass -- they belong on the single-company entries (kpi-green-energy.json, pace-digitek.json, enviro-infra-engineers.json, inox-wind.json), not on this basket entry</w:t>
      </w:r>
    </w:p>
    <w:p>
      <w:pPr>
        <w:pStyle w:val="ListParagraph"/>
        <w:numPr>
          <w:ilvl w:val="0"/>
          <w:numId w:val="1"/>
        </w:numPr>
        <w:spacing w:after="60"/>
      </w:pPr>
      <w:r>
        <w:t xml:space="preserve">If a dedicated ACME Solar entry is created, its own four-box/conviction read should incorporate its broader generation portfolio (not just the BESS slice) and its balance sheet/valuation -- not assessed this pass since it falls outside this thread's current single-entity scope</w:t>
      </w:r>
    </w:p>
    <w:p>
      <w:pPr>
        <w:spacing w:after="120" w:before="120"/>
      </w:pPr>
      <w:r>
        <w:rPr>
          <w:b/>
          <w:bCs/>
          <w:sz w:val="20"/>
          <w:szCs w:val="20"/>
        </w:rPr>
        <w:t xml:space="preserve">Conviction impact: </w:t>
      </w:r>
      <w:r>
        <w:rPr>
          <w:sz w:val="20"/>
          <w:szCs w:val="20"/>
        </w:rPr>
        <w:t xml:space="preserve">Medium-High -&gt; Low-Medium. The underlying BESS/RTC-FDRE sector tailwind is confirmed real and accelerating by primary-document-adjacent research this pass (CEA's 411.4 GWh FY32 target, a newly-approved Rs5,400cr/30GWh VGF tranche, and genuine commissioned capacity like ACME Solar's 4.96 GWh) -- but the entry still resolves to at least 5 companies with different business models, and four-box score 2.5 maps to thesis_fit:neither per the decision table with no valid single-entity exception. Conviction brought down to reflect that this entry, as currently scoped, is a real sector signal but not an actionable single-stock position.</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Government VGF Tranche-2: Rs5,400cr for 30 GWh of new BESS capacity</w:t>
            </w:r>
          </w:p>
        </w:tc>
        <w:tc>
          <w:tcPr>
            <w:tcW w:type="dxa" w:w="2400"/>
          </w:tcPr>
          <w:p>
            <w:r>
              <w:rPr>
                <w:b w:val="false"/>
                <w:bCs w:val="false"/>
                <w:sz w:val="18"/>
                <w:szCs w:val="18"/>
              </w:rPr>
              <w:t xml:space="preserve">25 GWh allocated across 15 states, 5 GWh reserved for NTPC</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CEA FY32 total energy-storage target: 411.4 GWh (236.2 GWh BESS + 175.2 GWh pumped hydro)</w:t>
            </w:r>
          </w:p>
        </w:tc>
        <w:tc>
          <w:tcPr>
            <w:tcW w:type="dxa" w:w="2400"/>
          </w:tcPr>
          <w:p>
            <w:r>
              <w:rPr>
                <w:b w:val="false"/>
                <w:bCs w:val="false"/>
                <w:sz w:val="18"/>
                <w:szCs w:val="18"/>
              </w:rPr>
              <w:t xml:space="preserve">~Rs2.65 lakh cr implied capex need for the BESS portion</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ACME Solar: 4.96 GWh cumulative operational BESS capacity (Rajasthan FDRE + assured-peak-power projects)</w:t>
            </w:r>
          </w:p>
        </w:tc>
        <w:tc>
          <w:tcPr>
            <w:tcW w:type="dxa" w:w="2400"/>
          </w:tcPr>
          <w:p>
            <w:r>
              <w:rPr>
                <w:b w:val="false"/>
                <w:bCs w:val="false"/>
                <w:sz w:val="18"/>
                <w:szCs w:val="18"/>
              </w:rPr>
              <w:t xml:space="preserve">latest tranche 107.36 MW/437.49 MWh commissioned 1-Oct-2026</w:t>
            </w:r>
          </w:p>
        </w:tc>
        <w:tc>
          <w:tcPr>
            <w:tcW w:type="dxa" w:w="900"/>
          </w:tcPr>
          <w:p>
            <w:r>
              <w:rPr>
                <w:b w:val="false"/>
                <w:bCs w:val="false"/>
                <w:sz w:val="18"/>
                <w:szCs w:val="18"/>
              </w:rPr>
              <w:t xml:space="preserve">3M</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
            </w:r>
          </w:p>
        </w:tc>
      </w:tr>
    </w:tbl>
    <w:p>
      <w:pPr>
        <w:spacing w:after="120" w:before="120"/>
      </w:pPr>
      <w:r>
        <w:rPr>
          <w:b/>
          <w:bCs/>
          <w:sz w:val="20"/>
          <w:szCs w:val="20"/>
        </w:rPr>
        <w:t xml:space="preserve">Catalyst: </w:t>
      </w:r>
      <w:r>
        <w:rPr>
          <w:sz w:val="20"/>
          <w:szCs w:val="20"/>
        </w:rPr>
        <w:t xml:space="preserve">VGF Tranche-2 (30 GWh) state-level tender rollout + first wave of commissioning milestones across the 5 named proxies</w:t>
      </w:r>
      <w:r>
        <w:rPr>
          <w:color w:val="666666"/>
          <w:sz w:val="18"/>
          <w:szCs w:val="18"/>
        </w:rPr>
        <w:t xml:space="preserve"> (window ~12M from 2026-10-01; undated; evidence high;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Indian battery energy storage (BESS) + solar-hybrid RTC/FDRE</w:t>
            </w:r>
          </w:p>
        </w:tc>
      </w:tr>
      <w:tr>
        <w:tc>
          <w:tcPr>
            <w:tcW w:type="dxa" w:w="3200"/>
            <w:shd w:fill="F2F2F2" w:val="clear"/>
          </w:tcPr>
          <w:p>
            <w:r>
              <w:rPr>
                <w:b/>
                <w:bCs/>
              </w:rPr>
              <w:t xml:space="preserve">This company's position</w:t>
            </w:r>
          </w:p>
        </w:tc>
        <w:tc>
          <w:tcPr>
            <w:tcW w:type="dxa" w:w="5800"/>
          </w:tcPr>
          <w:p>
            <w:r>
              <w:t xml:space="preserve">basket/theme spanning IPP/asset-owners and EPC/equipment suppliers across the storage value chain</w:t>
            </w:r>
          </w:p>
        </w:tc>
      </w:tr>
      <w:tr>
        <w:tc>
          <w:tcPr>
            <w:tcW w:type="dxa" w:w="3200"/>
            <w:shd w:fill="F2F2F2" w:val="clear"/>
          </w:tcPr>
          <w:p>
            <w:r>
              <w:rPr>
                <w:b/>
                <w:bCs/>
              </w:rPr>
              <w:t xml:space="preserve">Bottleneck node (pricing power)</w:t>
            </w:r>
          </w:p>
        </w:tc>
        <w:tc>
          <w:tcPr>
            <w:tcW w:type="dxa" w:w="5800"/>
          </w:tcPr>
          <w:p>
            <w:r>
              <w:t xml:space="preserve">cell/module supply chain (import-dependent) + sector-wide execution/commissioning pace</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ACME Solar, KPI Green Energy (Sun Drops Energia), Pace Digitek, Enviro Infra Engineers, Inox Wind/Inox Clean Energy</w:t>
            </w:r>
          </w:p>
        </w:tc>
      </w:tr>
    </w:tbl>
    <w:p>
      <w:pPr>
        <w:spacing w:after="120"/>
      </w:pPr>
      <w:r>
        <w:rPr>
          <w:color w:val="666666"/>
          <w:sz w:val="18"/>
          <w:szCs w:val="18"/>
        </w:rPr>
        <w:t xml:space="preserve">These five are not peers competing for the same slice of value -- they sit at different points in the chain (ACME Solar/KPI Green/Inox Clean as asset-owning IPPs selling power+storage under PPAs/BESPAs; Pace Digitek/Enviro Infra as EPC/equipment suppliers executing BESS contracts for discoms/NTPC/other developers).</w:t>
      </w:r>
    </w:p>
    <w:p>
      <w:pPr>
        <w:pStyle w:val="Heading1"/>
        <w:spacing w:after="120" w:before="280"/>
      </w:pPr>
      <w:r>
        <w:t xml:space="preserve">Fundamentals-Gap Checks (shareholding · working capital · sector KPIs · scenario analysis)</w:t>
      </w:r>
    </w:p>
    <w:p>
      <w:pPr>
        <w:spacing w:after="120"/>
      </w:pPr>
      <w:r>
        <w:rPr>
          <w:i/>
          <w:iCs/>
          <w:color w:val="666666"/>
          <w:sz w:val="18"/>
          <w:szCs w:val="18"/>
        </w:rPr>
        <w:t xml:space="preserve">Extra fundamentals extracted from the same filings — informational only, not yet consumed by any scoring script.</w:t>
      </w:r>
    </w:p>
    <w:p>
      <w:pPr>
        <w:spacing w:after="120"/>
      </w:pPr>
      <w:r>
        <w:rPr>
          <w:b/>
          <w:bCs/>
          <w:sz w:val="20"/>
          <w:szCs w:val="20"/>
        </w:rPr>
        <w:t xml:space="preserve">Sector KPIs:</w:t>
      </w:r>
    </w:p>
    <w:p>
      <w:pPr>
        <w:pStyle w:val="ListParagraph"/>
        <w:numPr>
          <w:ilvl w:val="0"/>
          <w:numId w:val="1"/>
        </w:numPr>
        <w:spacing w:after="60"/>
      </w:pPr>
      <w:r>
        <w:t xml:space="preserve">India cumulative commissioned BESS capacity: 758.4 MWh by end-2025 vs ~102 GWh tendered in 2025 (69 tenders) (improving) — large tender-to-commissioning execution gap industry-wide</w:t>
      </w:r>
    </w:p>
    <w:p>
      <w:pPr>
        <w:pStyle w:val="ListParagraph"/>
        <w:numPr>
          <w:ilvl w:val="0"/>
          <w:numId w:val="1"/>
        </w:numPr>
        <w:spacing w:after="60"/>
      </w:pPr>
      <w:r>
        <w:t xml:space="preserve">CEA FY32 BESS target: 236.2 GWh (411.4 GWh including pumped hydro) (improving) — ~Rs2.65 lakh cr implied capex need</w:t>
      </w:r>
    </w:p>
    <w:p>
      <w:pPr>
        <w:pStyle w:val="ListParagraph"/>
        <w:numPr>
          <w:ilvl w:val="0"/>
          <w:numId w:val="1"/>
        </w:numPr>
        <w:spacing w:after="60"/>
      </w:pPr>
      <w:r>
        <w:t xml:space="preserve">VGF support committed: Tranche-1 (Sep-2023) Rs9,400cr + Tranche-2 (14-May-2026) Rs5,400cr for 30 GWh (improving)</w:t>
      </w:r>
    </w:p>
    <w:p>
      <w:pPr>
        <w:pStyle w:val="Heading1"/>
        <w:spacing w:after="120" w:before="280"/>
      </w:pPr>
      <w:r>
        <w:t xml:space="preserve">Technical Read (Weekly / Monthly MACD + Bollinger Bands, or RSI/CCI/Williams %R proxy)</w:t>
      </w:r>
    </w:p>
    <w:p>
      <w:pPr>
        <w:spacing w:after="120"/>
      </w:pPr>
      <w:r>
        <w:t xml:space="preserve">Not assessed.</w:t>
      </w:r>
    </w:p>
    <w:p>
      <w:pPr>
        <w:pStyle w:val="Heading1"/>
        <w:spacing w:after="120" w:before="280"/>
      </w:pPr>
      <w:r>
        <w:t xml:space="preserve">ValuePickr Community Signal</w:t>
      </w:r>
    </w:p>
    <w:p>
      <w:pPr>
        <w:spacing w:after="120"/>
      </w:pPr>
      <w:r>
        <w:t xml:space="preserve">Not assessed.</w:t>
      </w:r>
    </w:p>
    <w:p>
      <w:pPr>
        <w:pStyle w:val="Heading1"/>
        <w:spacing w:after="120" w:before="280"/>
      </w:pPr>
      <w:r>
        <w:t xml:space="preserve">BSE Corporate Actions / Other Red Flags</w:t>
      </w:r>
    </w:p>
    <w:p>
      <w:pPr>
        <w:spacing w:after="120"/>
      </w:pPr>
      <w:r>
        <w:t xml:space="preserve">Not assessed.</w:t>
      </w:r>
    </w:p>
    <w:p>
      <w:pPr>
        <w:pStyle w:val="Heading1"/>
        <w:spacing w:after="120" w:before="280"/>
      </w:pPr>
      <w:r>
        <w:t xml:space="preserve">Bull Case</w:t>
      </w:r>
    </w:p>
    <w:p>
      <w:pPr>
        <w:pStyle w:val="ListParagraph"/>
        <w:numPr>
          <w:ilvl w:val="0"/>
          <w:numId w:val="1"/>
        </w:numPr>
        <w:spacing w:after="60"/>
      </w:pPr>
      <w:r>
        <w:t xml:space="preserve">BESS buildout is a confirmed, funded national priority, not a narrative: CEA's FY32 plan needs 411.4 GWh of total storage (236.2 GWh BESS) and ~Rs2.65 lakh cr capex; a second VGF tranche (Rs5,400cr for 30 GWh) was approved as recently as 14-May-2026, on top of the original Sep-2023 Rs9,400cr tranche</w:t>
      </w:r>
    </w:p>
    <w:p>
      <w:pPr>
        <w:pStyle w:val="ListParagraph"/>
        <w:numPr>
          <w:ilvl w:val="0"/>
          <w:numId w:val="1"/>
        </w:numPr>
        <w:spacing w:after="60"/>
      </w:pPr>
      <w:r>
        <w:t xml:space="preserve">Real commissioning is happening, not just tendering: ACME Solar alone has 4.96 GWh of operational BESS capacity with explicit FDRE/assured-peak-power project structures directly matching this thread's own framing</w:t>
      </w:r>
    </w:p>
    <w:p>
      <w:pPr>
        <w:pStyle w:val="ListParagraph"/>
        <w:numPr>
          <w:ilvl w:val="0"/>
          <w:numId w:val="1"/>
        </w:numPr>
        <w:spacing w:after="60"/>
      </w:pPr>
      <w:r>
        <w:t xml:space="preserve">Multiple entry points across the value chain have live, dated order books: IPP/asset owners (ACME Solar, KPI Green via Sun Drops Energia, Inox Clean via the Vena Energy India acquisition) and EPC/manufacturing plays (Pace Digitek scaling 2.5-&gt;10 GWh manufacturing capacity, Enviro Infra diversifying from water-treatment into BESS EPC)</w:t>
      </w:r>
    </w:p>
    <w:p>
      <w:pPr>
        <w:pStyle w:val="ListParagraph"/>
        <w:numPr>
          <w:ilvl w:val="0"/>
          <w:numId w:val="1"/>
        </w:numPr>
        <w:spacing w:after="60"/>
      </w:pPr>
      <w:r>
        <w:t xml:space="preserve">Order books are large and real: Pace Digitek Rs11,338cr (incl. 5.32 GWh storage pipeline), KPI Green's Sun Drops Energia at 565MW/1,130MWh executed plus a 600MW/~Rs1,050cr RTC LOI, Enviro Infra's BESS-inclusive order book past Rs4,600cr</w:t>
      </w:r>
    </w:p>
    <w:p>
      <w:pPr>
        <w:pStyle w:val="Heading1"/>
        <w:spacing w:after="120" w:before="280"/>
      </w:pPr>
      <w:r>
        <w:t xml:space="preserve">Bear Case / Key Risks</w:t>
      </w:r>
    </w:p>
    <w:p>
      <w:pPr>
        <w:pStyle w:val="ListParagraph"/>
        <w:numPr>
          <w:ilvl w:val="0"/>
          <w:numId w:val="1"/>
        </w:numPr>
        <w:spacing w:after="60"/>
      </w:pPr>
      <w:r>
        <w:t xml:space="preserve">This is not one stock -- it is at least a 5-company basket spanning fundamentally different business models (asset-owning IPPs vs EPC/equipment suppliers), different balance sheets, and different valuations; no single four-box or conviction call can honestly represent all of them</w:t>
      </w:r>
    </w:p>
    <w:p>
      <w:pPr>
        <w:pStyle w:val="ListParagraph"/>
        <w:numPr>
          <w:ilvl w:val="0"/>
          <w:numId w:val="1"/>
        </w:numPr>
        <w:spacing w:after="60"/>
      </w:pPr>
      <w:r>
        <w:t xml:space="preserve">Industry-wide execution lags intent: ~69 BESS tenders (~102 GWh) floated in 2025 but only 758.4 MWh cumulatively commissioned by year-end -- a large gap between announced pipeline and delivered capacity across the sector</w:t>
      </w:r>
    </w:p>
    <w:p>
      <w:pPr>
        <w:pStyle w:val="ListParagraph"/>
        <w:numPr>
          <w:ilvl w:val="0"/>
          <w:numId w:val="1"/>
        </w:numPr>
        <w:spacing w:after="60"/>
      </w:pPr>
      <w:r>
        <w:t xml:space="preserve">For the EPC-model proxies (Pace Digitek, Enviro Infra), BESS is a newly-entered, fast-growing but unproven-at-scale segment layered onto a different core business (Enviro Infra's core is water/wastewater treatment) -- execution risk on a new technology/segment is real</w:t>
      </w:r>
    </w:p>
    <w:p>
      <w:pPr>
        <w:pStyle w:val="ListParagraph"/>
        <w:numPr>
          <w:ilvl w:val="0"/>
          <w:numId w:val="1"/>
        </w:numPr>
        <w:spacing w:after="60"/>
      </w:pPr>
      <w:r>
        <w:t xml:space="preserve">4 of 5 named proxies already have dedicated entries elsewhere in this project where their actual fundamentals, valuation, and risk are properly assessed -- continuing to carry this basket entry alongside those risks diluting analytical focus without adding distinct value</w:t>
      </w:r>
    </w:p>
    <w:p>
      <w:pPr>
        <w:pStyle w:val="Heading1"/>
        <w:spacing w:after="120" w:before="280"/>
      </w:pPr>
      <w:r>
        <w:t xml:space="preserve">Market-Cap Tier (informational — not a gate in this project)</w:t>
      </w:r>
    </w:p>
    <w:p>
      <w:pPr>
        <w:spacing w:after="120"/>
      </w:pPr>
      <w:r>
        <w:rPr>
          <w:b/>
          <w:bCs/>
        </w:rPr>
        <w:t xml:space="preserve">N/A (thematic/basket entry, not a single listed entity)</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unknown · moat: unknown · valuation: unknown  (score 2.5 / 4)</w:t>
      </w:r>
    </w:p>
    <w:p>
      <w:pPr>
        <w:spacing w:after="120"/>
      </w:pPr>
      <w:r>
        <w:rPr>
          <w:i/>
          <w:iCs/>
          <w:color w:val="666666"/>
          <w:sz w:val="20"/>
          <w:szCs w:val="20"/>
        </w:rPr>
        <w:t xml:space="preserve">Tailwind confirmed real this pass: CEA FY32 target 411.4 GWh total storage, VGF Tranche-2 (Rs5,400cr/30GWh, 14-May-2026) on top of Tranche-1 (Rs9,400cr, 2023), and genuine commissioning (ACME Solar 4.96 GWh operational). tam/moat/valuation remain unknown -- not because they weren't researched, but because the data file still represents 5 different companies (IPP asset-owners vs EPC suppliers) with no single entity to score. Score 2.5 maps to thesis_fit:neither per the decision table; no single-entity exception is available for a basket.</w:t>
      </w:r>
    </w:p>
    <w:p>
      <w:pPr>
        <w:pStyle w:val="Heading1"/>
        <w:spacing w:after="120" w:before="280"/>
      </w:pPr>
      <w:r>
        <w:t xml:space="preserve">Verdict</w:t>
      </w:r>
    </w:p>
    <w:p>
      <w:pPr>
        <w:spacing w:after="120"/>
      </w:pPr>
      <w:r>
        <w:rPr>
          <w:b/>
          <w:bCs/>
          <w:sz w:val="24"/>
          <w:szCs w:val="24"/>
        </w:rPr>
        <w:t xml:space="preserve">A real, accelerating BESS/RTC-FDRE sector tailwind confirmed by primary-document research -- but the thread still doesn't resolve to one investable entity; thesis_fit corrected to neither pending a decision to split this into dedicated single-company entries</w:t>
      </w:r>
    </w:p>
    <w:p>
      <w:pPr>
        <w:pStyle w:val="ListParagraph"/>
        <w:numPr>
          <w:ilvl w:val="0"/>
          <w:numId w:val="1"/>
        </w:numPr>
        <w:spacing w:after="60"/>
      </w:pPr>
      <w:r>
        <w:t xml:space="preserve">Four-box score stays 2.5 (tailwind yes -- confirmed via CEA's 411.4 GWh FY32 storage target, a second Rs5,400cr/30 GWh VGF tranche approved 14-May-2026, and real commissioned capacity like ACME Solar's 4.96 GWh; tam/moat/valuation genuinely unknown because they vary by company, not by theme) -- per the decision table, 2.0-2.5 maps to thesis_fit:neither absent a written single-entity exception, and none is available for a 5-company basket</w:t>
      </w:r>
    </w:p>
    <w:p>
      <w:pPr>
        <w:pStyle w:val="ListParagraph"/>
        <w:numPr>
          <w:ilvl w:val="0"/>
          <w:numId w:val="1"/>
        </w:numPr>
        <w:spacing w:after="60"/>
      </w:pPr>
      <w:r>
        <w:t xml:space="preserve">4 of the 5 named proxies already carry their own dedicated data-file entries in this project (kpi-green-energy.json, pace-digitek.json, enviro-infra-engineers.json, inox-wind.json/inox-green-energy-services.json) -- this thread entry is largely redundant with work already being done at the single-stock level elsewhere</w:t>
      </w:r>
    </w:p>
    <w:p>
      <w:pPr>
        <w:pStyle w:val="ListParagraph"/>
        <w:numPr>
          <w:ilvl w:val="0"/>
          <w:numId w:val="1"/>
        </w:numPr>
        <w:spacing w:after="60"/>
      </w:pPr>
      <w:r>
        <w:t xml:space="preserve">ACME Solar is the one named proxy with no dedicated entry in this project despite having by far the most directly on-theme asset base this pass surfaced (4.96 GWh operational BESS, explicit FDRE and 'assured peak power' project structures in Rajasthan) -- worth a dedicated entry if a future routine wants direct RTC/FDRE exposure</w:t>
      </w:r>
    </w:p>
    <w:p>
      <w:pPr>
        <w:pStyle w:val="ListParagraph"/>
        <w:numPr>
          <w:ilvl w:val="0"/>
          <w:numId w:val="1"/>
        </w:numPr>
        <w:spacing w:after="60"/>
      </w:pPr>
      <w:r>
        <w:t xml:space="preserve">No red flag found at the thematic level (not meaningful to assess for a basket); conviction brought down from the light-pass Medium-High to Low-Medium to reflect that this entry, as currently scoped, is not an actionable single-stock call despite the genuine underlying sector tailwind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2026-10-01T15:10:59.091Z</dcterms:created>
  <dcterms:modified xsi:type="dcterms:W3CDTF">2026-10-01T15:10:59.095Z</dcterms:modified>
</cp:coreProperties>
</file>

<file path=docProps/custom.xml><?xml version="1.0" encoding="utf-8"?>
<Properties xmlns="http://schemas.openxmlformats.org/officeDocument/2006/custom-properties" xmlns:vt="http://schemas.openxmlformats.org/officeDocument/2006/docPropsVTypes"/>
</file>