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Alan Scott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ALANSCOTT | Microcap health/hygiene products roll-up, incorporated 1994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health and hygiene products for hospital and home use. Since a 2023 management change, the company has pursued an aggressive acquisition-led diversification strategy, disclosing an 11-subsidiary portfolio in a July 2026 BSE investor presentation.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cited this as '~8X (noted as a 2023 management-change bet)' - the price appreciation since the management change is real and confirmed by the technical picture below, but it has run well ahead of the underlying fundamentals.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345-360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181-197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16.1-17.6x (Book Value ~Rs 19.7-21)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-14.1% / -45.8% (1yr); -88.7%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87% / 344% / 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</w:t>
            </w:r>
          </w:p>
        </w:tc>
        <w:tc>
          <w:tcPr>
            <w:tcW w:type="dxa" w:w="5800"/>
          </w:tcPr>
          <w:p>
            <w:r>
              <w:t xml:space="preserve">-32% (3yr); negative (5yr); +18% (TTM, off a loss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9.65 Cr borrowings, described by Screener as carrying a high cost of borrowing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63.57%, stable-to-slightly-up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Dec'25: 8.26 / -1.13 | Sep'25: 8.81 / -0.90 | Jun'25: 9.24 / -0.38 | Mar'25: 8.14 / -0.95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genuinely difficult fundamental picture: the company has been loss-making in every one of the last 4 reported quarters, with negative operating margins (-9.46% in Mar 2026), deeply negative ROE/ROCE, and negative free cash flow (-Rs 11.92 Cr in FY26). The 5-year sales CAGR of 344% reflects the acquisition roll-up (adding subsidiaries), not organic demand growth, and has not yet produced profitability. An August 2026 rights issue (~Rs 7.15 Cr) is underway, which will raise fresh capital but also dilute existing holders.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+7.79 (Buy), RSI(14) 66.4 (neutral-to-firm), all major moving averages bullish (10 through 200-week) - a strong, established uptrend. Monthly: MACD Level +59.22 (Buy), RSI(14) 66.4, all available moving averages (10-100 month; 200 not yet available) firmly Buy - confirms a powerful multi-year re-rating. Read: technically this is one of the strongest uptrends in the entire batch, entirely consistent with the sheet's '~8X since 2023' framing - but it is a trend built on acquisition-driven narrative and roll-up activity, not on the underlying profitability shown in the financials, which remain negative across every recent quarter.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dedicated ValuePickr thread was found for this company in this research pass. The absence of independent community scrutiny on a stock with this combination (huge price re-rating + persistently negative fundamentals) is itself worth noting - this looks more like a story still awaiting real due-diligence attention than one that has been vetted and found sound.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pledging found (0% promoter shares pledged) - a genuine positive. However, the company is actively raising capital via a rights issue (record date meeting Aug 13, 2026) even while quarterly results remain loss-making, and has been rapidly adding subsidiaries (11 disclosed as of July 2026) - a pattern that increases both opportunity and integration/governance risk simultaneously.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Powerful, multi-year, technically confirmed uptrend on both Weekly and Monthly timeframes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pledging - ownership structure is clean on that specific dimension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acquisition-led growth strategy could eventually produce real scale if integration succeeds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size with theoretical headroom if the roll-up strategy turns profitable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Loss-making in every one of the last 4 reported quarters, with deeply negative ROE (-45.8%) and ROCE (-14.1%)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free cash flow and a described 'high cost of borrowing' - a company burning cash while raising more capital via a rights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344% 5-year sales CAGR is acquisition-driven, not organic - a much lower-quality growth signal than it appears at first glance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of 16-17x on a loss-making, negative-ROE business is an extremely demanding valuation with no profitability to anchor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ValuePickr community scrutiny was found - this thesis has not been stress-tested by the broader research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strong technical trend appears to be running well ahead of, and disconnected from, the underlying fundamentals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181-197 Cr) - genuine size headroom, but this is a high-risk speculative name given the fundamental/technical disconnect.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High-risk speculative momentum story - fundamentals do not yet support the price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Poor - persistent losses, negative ROE/ROCE, negative free cash flow across every 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Poor - P/B of 16-17x on a loss-making business leaves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in theory - genuine microcap - but this factor is overwhelmed by the fundamental weakness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Strong (paradoxically) - one of the cleanest multi-timeframe uptrends in the batch, which is itself a caution flag given the fundamentals don't support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Weak - the 'story' (acquisition roll-up) is real but unproven; no specific profitability inflection point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Caution - no pledging is a positive, but the rapid subsidiary accumulation alongside persistent losses and an active rights issue is a pattern that warrants real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Unknown/likely thin for a sub-Rs 200 Cr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 - no independent community vetting found to counterbalance the price momentum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2026-08-10T16:44:32.566Z</dcterms:created>
  <dcterms:modified xsi:type="dcterms:W3CDTF">2026-08-10T16:44:32.571Z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