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Amrutanjan Health Care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NSE/BSE: AMRUTANJAN | Ayurvedic/allopathic healthcare brands, ~Rs 1,431-2,106 Cr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1,431-2,106 Cr (smallcap)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24.8% / 18.5% (strong)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23.0x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5yr Sales Growth</w:t>
            </w:r>
          </w:p>
        </w:tc>
        <w:tc>
          <w:tcPr>
            <w:tcW w:type="dxa" w:w="5800"/>
          </w:tcPr>
          <w:p>
            <w:r>
              <w:t xml:space="preserve">8.59% (weak)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Position</w:t>
            </w:r>
          </w:p>
        </w:tc>
        <w:tc>
          <w:tcPr>
            <w:tcW w:type="dxa" w:w="5800"/>
          </w:tcPr>
          <w:p>
            <w:r>
              <w:t xml:space="preserve">#1 in Modern Trade Head (pain-relief balm) category, 41.1% volume share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 Payout</w:t>
            </w:r>
          </w:p>
        </w:tc>
        <w:tc>
          <w:tcPr>
            <w:tcW w:type="dxa" w:w="5800"/>
          </w:tcPr>
          <w:p>
            <w:r>
              <w:t xml:space="preserve">26.7%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genuinely strong, debt-free, dominant-brand business (24.8% ROCE, #1 market position with 41.1% share) but with slow historical growth (8.59% 5yr) - this reads as a high-quality, cash-generative, mature-brand compounder rather than a fast grower.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independently verified this pass.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Featured as the closing/final presentation of Day 2 at a well-regarded investor summit - suggests genuine analyst interest in the brand-strength story.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 red flag surfaced in available search results.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Dominant, defensible market position (#1, 41.1% share) in its core category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ROCE/ROE (24.8%/18.5%), debt-free, healthy dividend payout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smallcap size with theoretical headroom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historical growth (8.59% 5yr sales CAGR) - a mature-brand profile, not a growth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new catalyst identified to accelerate growth beyond steady, established categories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Smallcap (~Rs 1,431-2,106 Cr) - genuine headroom, but growth profile is slow/steady rather than explosive.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High-quality, debt-free market leader - but growth is too slow for a 10x thesis without a new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Quality metrics (ROCE, ROE, debt-free, market share) are genuinely excellent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growth of under 9%/year is far too slow to support a 10x-in-2-3-years outcome on its 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Would need a specific new growth catalyst (new category, geography, or product line) to change this assessment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2026-08-14T17:00:56.371Z</dcterms:created>
  <dcterms:modified xsi:type="dcterms:W3CDTF">2026-08-14T17:00:56.376Z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