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Apar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APARINDS | EXCLUDED from 10x ranking - already large-cap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Apar Industries (founded 1958) is a market leader in power transmission conductors (23% market share, ~45% of revenue), transformer/specialty oils, and cables, with a global presence.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Source sheet noted 'solid engagement on the results post; clear positive emphasis on EPS growth' - a legitimate quality business, just not sized for this specific screen.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66,830 Cr (large-cap, +91% in the past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 (TTM)</w:t>
            </w:r>
          </w:p>
        </w:tc>
        <w:tc>
          <w:tcPr>
            <w:tcW w:type="dxa" w:w="5800"/>
          </w:tcPr>
          <w:p>
            <w:r>
              <w:t xml:space="preserve">Rs 24,389 Cr / Rs 1,182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12.4x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57.8%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well-run, large, and clearly high-quality industrial business with an active long-running ValuePickr thread ('Apar Industries - Above Par and Transformative for Investors?', discussed since 2016). It has already delivered an enormous re-rating (+91% in the last year alone, on top of a multi-year run). None of that changes the arithmetic: at ~Rs 66,830 Cr, a 10x would require the company to reach roughly Rs 6.7 lakh Cr (~$80bn) within 2-3 years - a scale jump with no real-world precedent for an industrial conductors/cables business in that timeframe.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in depth - excluded on market-cap grounds before the technical step, consistent with the project's scoring framework (market-cap headroom is a hard gate, not just one factor among many).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Active, long-tenured ValuePickr community coverage since 2016 with generally constructive sentiment on the conductor/specialty-oil business mix and value-unlocking discussions. This reflects a genuinely well-regarded compounder, just not a candidate for this specific 10x-in-2-3-years screen.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flags surfaced; not pursued further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High-quality, market-leading industrial franchise with a long, credible ValuePickr following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execution (91% 1-year return reflects real fundamental delivery, not just narrative)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of ~Rs 66,830 Cr makes a 10x within 2-3 years structurally implausible regardless of business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(12.4x P/B) already reflects a business priced for continued excellence, not a re-rating candidate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66,830 Cr) - excluded from the 10x-in-2-3-years ranking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not a 10x candidate on market-cap grounds, despite being a genuinely good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headroom: Fails - already large-cap; a 10x would require ~$80bn valuation within 2-3 years, without precedent for this type of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exclusion is about screen-fit, not business quality - Apar may be a perfectly reasonable long-term compounder, just outside the scope of this specific research request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2026-08-09T17:47:59.777Z</dcterms:created>
  <dcterms:modified xsi:type="dcterms:W3CDTF">2026-08-09T17:47:59.783Z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