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Ather Energy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ATHERENERG | EXCLUDED - large-cap EV two-wheeler maker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60,219 Cr (large-cap, +267%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Result</w:t>
            </w:r>
          </w:p>
        </w:tc>
        <w:tc>
          <w:tcPr>
            <w:tcW w:type="dxa" w:w="5800"/>
          </w:tcPr>
          <w:p>
            <w:r>
              <w:t xml:space="preserve">Rs 4,244 Cr revenue, Rs 390 Cr LOSS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Price/Book</w:t>
            </w:r>
          </w:p>
        </w:tc>
        <w:tc>
          <w:tcPr>
            <w:tcW w:type="dxa" w:w="5800"/>
          </w:tcPr>
          <w:p>
            <w:r>
              <w:t xml:space="preserve">22.7x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Already a Rs 60,000+ Cr large-cap and still loss-making at that scale - both the size and the lack of profitability rule this out for a microcap 10x-in-2-3-years screen.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researched - excluded on size grounds before the technical step.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Leading branded EV two-wheeler player with strong recent stock performance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large-cap (Rs 60,219 Cr) - structurally excluded from a 10x-in-2-3-years microcap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loss-making at this scale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Large-cap (~Rs 60,219 Cr) - excluded from the 10x-in-2-3-years ranking on size grounds alone.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large-cap, not a 10x candidate on market-cap grounds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loss-making despite the large valuation, adding execution risk on top of the size issue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2026-08-14T15:12:49.766Z</dcterms:created>
  <dcterms:modified xsi:type="dcterms:W3CDTF">2026-08-14T15:12:49.772Z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