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BCL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BCLIND | Agro-processing/distillery/ethanol, ~Rs 1,064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1,064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11.4x / 1.20x (35% discount to peer median 1.84x)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 / ROIC</w:t>
            </w:r>
          </w:p>
        </w:tc>
        <w:tc>
          <w:tcPr>
            <w:tcW w:type="dxa" w:w="5800"/>
          </w:tcPr>
          <w:p>
            <w:r>
              <w:t xml:space="preserve">14.0% / 8.49%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Net Profit</w:t>
            </w:r>
          </w:p>
        </w:tc>
        <w:tc>
          <w:tcPr>
            <w:tcW w:type="dxa" w:w="5800"/>
          </w:tcPr>
          <w:p>
            <w:r>
              <w:t xml:space="preserve">Rs 126 Cr, +22% YoY (on roughly flat revenue of Rs 2,792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Margin</w:t>
            </w:r>
          </w:p>
        </w:tc>
        <w:tc>
          <w:tcPr>
            <w:tcW w:type="dxa" w:w="5800"/>
          </w:tcPr>
          <w:p>
            <w:r>
              <w:t xml:space="preserve">Expanded to 8.7% from 7.3%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Margin-led profit growth (+22% YoY) on flat revenue, driven by ethanol mix improvement and capacity expansion (now 550 KLPD across Bathinda and Kharagpur). Valuation is cheap relative to peers. Main risk: ethanol allocation and pricing are government-policy-dependent, creating real operational unpredictability.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Stock reportedly surged (+9-14%) on capacity-expansion and strong-quarter news per financial media, consistent with positive recent momentum.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dedicated ValuePickr thread surfaced in available search results this pass; sentiment inferred from financial-media coverage is positive on execution.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margin-led profit growth (+22% YoY) with capacity expansion executing on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vs peers (P/B 35% discount)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beneficiary of India's ethanol-blending policy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Ethanol allocation/pricing is government-policy-dependent - a real, disclosed operational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itself is roughly flat - growth is margin/mix-driven, not volume-driven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community due-diligence thread found to cross-check the story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1,064 Cr) - genuine headroom with a real, if policy-exposed, catalyst.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margin-driven growth with a genuine policy tailwind, tempered by government-dependency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growth and margin expansion are real and recent, not just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relative valuation gives some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Ethanol-policy dependency is a genuine, not hypothetical, risk to monitor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2026-08-14T14:40:47.911Z</dcterms:created>
  <dcterms:modified xsi:type="dcterms:W3CDTF">2026-08-14T14:40:47.916Z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