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1F4E5F"/>
          <w:sz w:val="44"/>
          <w:szCs w:val="44"/>
        </w:rPr>
        <w:t xml:space="preserve">Bajaj Steel Industries Ltd</w:t>
      </w:r>
    </w:p>
    <w:p>
      <w:pPr>
        <w:pBdr>
          <w:bottom w:val="single" w:color="CCCCCC" w:sz="6" w:space="8"/>
        </w:pBdr>
        <w:spacing w:after="200"/>
      </w:pPr>
      <w:r>
        <w:rPr>
          <w:i/>
          <w:iCs/>
          <w:color w:val="666666"/>
          <w:sz w:val="22"/>
          <w:szCs w:val="22"/>
        </w:rPr>
        <w:t xml:space="preserve">BSE: 507944 | Cotton ginning/pressing machinery manufacturer, ~Rs 821 Cr</w:t>
      </w:r>
    </w:p>
    <w:p>
      <w:pPr>
        <w:pStyle w:val="Heading1"/>
        <w:spacing w:after="120" w:before="280"/>
      </w:pPr>
      <w:r>
        <w:t xml:space="preserve">Business Overview</w:t>
      </w:r>
    </w:p>
    <w:p>
      <w:pPr>
        <w:spacing w:after="120"/>
      </w:pPr>
      <w:r/>
    </w:p>
    <w:p>
      <w:pPr>
        <w:pStyle w:val="Heading1"/>
        <w:spacing w:after="120" w:before="280"/>
      </w:pPr>
      <w:r>
        <w:t xml:space="preserve">Source / Conviction Notes (from original sheet)</w:t>
      </w:r>
    </w:p>
    <w:p>
      <w:pPr>
        <w:spacing w:after="120"/>
      </w:pPr>
      <w:r/>
    </w:p>
    <w:p>
      <w:pPr>
        <w:pStyle w:val="Heading1"/>
        <w:spacing w:after="120" w:before="280"/>
      </w:pPr>
      <w:r>
        <w:t xml:space="preserve">Fundamentals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800"/>
      </w:tblGrid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Market Cap</w:t>
            </w:r>
          </w:p>
        </w:tc>
        <w:tc>
          <w:tcPr>
            <w:tcW w:type="dxa" w:w="5800"/>
          </w:tcPr>
          <w:p>
            <w:r>
              <w:t xml:space="preserve">Rs 821 Cr (smallcap)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P/E</w:t>
            </w:r>
          </w:p>
        </w:tc>
        <w:tc>
          <w:tcPr>
            <w:tcW w:type="dxa" w:w="5800"/>
          </w:tcPr>
          <w:p>
            <w:r>
              <w:t xml:space="preserve">22.3x (a ~60% discount to peer median ~55x)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ROCE / ROE</w:t>
            </w:r>
          </w:p>
        </w:tc>
        <w:tc>
          <w:tcPr>
            <w:tcW w:type="dxa" w:w="5800"/>
          </w:tcPr>
          <w:p>
            <w:r>
              <w:t xml:space="preserve">27.58% / 21.77% (strong)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Sales Growth (5yr)</w:t>
            </w:r>
          </w:p>
        </w:tc>
        <w:tc>
          <w:tcPr>
            <w:tcW w:type="dxa" w:w="5800"/>
          </w:tcPr>
          <w:p>
            <w:r>
              <w:t xml:space="preserve">0.53% (poor)</w:t>
            </w:r>
          </w:p>
        </w:tc>
      </w:tr>
    </w:tbl>
    <w:p>
      <w:pPr>
        <w:spacing w:after="100"/>
      </w:pPr>
    </w:p>
    <w:p>
      <w:pPr>
        <w:spacing w:after="120"/>
      </w:pPr>
      <w:r>
        <w:t xml:space="preserve">Excellent capital efficiency (ROCE 27.6%, ROE 21.8%) trading at a meaningful discount to peers, but 5-year sales growth is essentially flat - the quality metrics are strong but there's no visible growth engine driving a re-rating case.</w:t>
      </w:r>
    </w:p>
    <w:p>
      <w:pPr>
        <w:pStyle w:val="Heading1"/>
        <w:spacing w:after="120" w:before="280"/>
      </w:pPr>
      <w:r>
        <w:t xml:space="preserve">Technical Read (Weekly / Monthly)</w:t>
      </w:r>
    </w:p>
    <w:p>
      <w:pPr>
        <w:spacing w:after="120"/>
      </w:pPr>
      <w:r>
        <w:t xml:space="preserve">Not independently verified this pass; the cited historical '~9.5X' return implies a strong prior uptrend already largely realized.</w:t>
      </w:r>
    </w:p>
    <w:p>
      <w:pPr>
        <w:pStyle w:val="Heading1"/>
        <w:spacing w:after="120" w:before="280"/>
      </w:pPr>
      <w:r>
        <w:t xml:space="preserve">ValuePickr + X Sentiment</w:t>
      </w:r>
    </w:p>
    <w:p>
      <w:pPr>
        <w:spacing w:after="120"/>
      </w:pPr>
      <w:r>
        <w:t xml:space="preserve">No ValuePickr thread surfaced in available search results for this pass.</w:t>
      </w:r>
    </w:p>
    <w:p>
      <w:pPr>
        <w:pStyle w:val="Heading1"/>
        <w:spacing w:after="120" w:before="280"/>
      </w:pPr>
      <w:r>
        <w:t xml:space="preserve">BSE Corporate Actions / Red Flags</w:t>
      </w:r>
    </w:p>
    <w:p>
      <w:pPr>
        <w:spacing w:after="120"/>
      </w:pPr>
      <w:r>
        <w:t xml:space="preserve">No red flag surfaced in available search results.</w:t>
      </w:r>
    </w:p>
    <w:p>
      <w:pPr>
        <w:pStyle w:val="Heading1"/>
        <w:spacing w:after="120" w:before="280"/>
      </w:pPr>
      <w:r>
        <w:t xml:space="preserve">Bull Case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High ROCE/ROE - genuinely capital-efficient business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Trades at a real discount to peer valuations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Niche, entrenched position in cotton-ginning machinery</w:t>
      </w:r>
    </w:p>
    <w:p>
      <w:pPr>
        <w:pStyle w:val="Heading1"/>
        <w:spacing w:after="120" w:before="280"/>
      </w:pPr>
      <w:r>
        <w:t xml:space="preserve">Bear Case / Key Risks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5-year sales growth is essentially flat (0.53%) - no clear growth catalyst identified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Low dividend payout despite strong returns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No community thesis found to explain a forward re-rating case</w:t>
      </w:r>
    </w:p>
    <w:p>
      <w:pPr>
        <w:pStyle w:val="Heading1"/>
        <w:spacing w:after="120" w:before="280"/>
      </w:pPr>
      <w:r>
        <w:t xml:space="preserve">Market-Cap Tier</w:t>
      </w:r>
    </w:p>
    <w:p>
      <w:pPr>
        <w:spacing w:after="120"/>
      </w:pPr>
      <w:r>
        <w:rPr>
          <w:b/>
          <w:bCs/>
        </w:rPr>
        <w:t xml:space="preserve">Smallcap (~Rs 821 Cr) - size headroom exists but growth engine is unclear.</w:t>
      </w:r>
    </w:p>
    <w:p>
      <w:pPr>
        <w:pStyle w:val="Heading1"/>
        <w:spacing w:after="120" w:before="280"/>
      </w:pPr>
      <w:r>
        <w:t xml:space="preserve">10x-in-2-3-Years Plausibility Verdict</w:t>
      </w:r>
    </w:p>
    <w:p>
      <w:pPr>
        <w:spacing w:after="120"/>
      </w:pPr>
      <w:r>
        <w:rPr>
          <w:b/>
          <w:bCs/>
          <w:sz w:val="24"/>
          <w:szCs w:val="24"/>
        </w:rPr>
        <w:t xml:space="preserve">High quality, no visible growth catalyst - hold-and-watch rather than high conviction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Capital efficiency is genuinely excellent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Flat 5-year growth undermines the case for a fresh re-rating without a new catalyst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No community coverage found to surface a forward-looking thesis</w:t>
      </w:r>
    </w:p>
    <w:p>
      <w:pPr>
        <w:pBdr>
          <w:top w:val="single" w:color="CCCCCC" w:sz="6" w:space="8"/>
        </w:pBdr>
        <w:spacing w:before="300"/>
      </w:pPr>
      <w:r>
        <w:rPr>
          <w:i/>
          <w:iCs/>
          <w:color w:val="666666"/>
          <w:sz w:val="18"/>
          <w:szCs w:val="18"/>
        </w:rPr>
        <w:t xml:space="preserve">This is independent research and analysis for informational purposes only, not personalized financial or investment advice. Past multi-bagger performance and forum/social sentiment are not indicators of future returns. Do your own due diligence before investing.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2026-08-14T14:38:51.665Z</dcterms:created>
  <dcterms:modified xsi:type="dcterms:W3CDTF">2026-08-14T14:38:51.668Z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