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Beardsell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BEARDSELL | EPS/insulation &amp; prefab building products, ~Rs 116 Cr, est. 1936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116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12.9%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10.67%/yr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 PAT</w:t>
            </w:r>
          </w:p>
        </w:tc>
        <w:tc>
          <w:tcPr>
            <w:tcW w:type="dxa" w:w="5800"/>
          </w:tcPr>
          <w:p>
            <w:r>
              <w:t xml:space="preserve">Rs 2.90 Cr, +27.2%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Assessed as 'Fair zone' vs its own history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Steady, unspectacular growth (10.67%/yr revenue) with a real recent profit acceleration (+27% YoY) and reasonable ROE. Not a dramatic re-rating story so far, but a genuine microcap with decades of operating history in a niche building-materials segment.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no strong momentum signal surfaced either way in available sources.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ValuePickr thread surfaced in available search results this pass.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operating history (est. 1936) in a niche insulation/building-materials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recent profit acceleration (+27%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with theoretical re-rating headroom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steady but unspectacular (10.67%/yr) - no dramatic catalyst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coverage found to validate a forward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assessed as 'fair' rather than cheap relative to its own history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116 Cr) - genuine size headroom, but no standout catalyst identified in this pass.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Steady niche microcap, no standout catalyst found - low-conviction watch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stable and modestly improving, not dramatic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catalyst or community thesis was found to justify high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size headroom keeps it on the watch list rather than excluded outright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2026-08-14T14:41:27.208Z</dcterms:created>
  <dcterms:modified xsi:type="dcterms:W3CDTF">2026-08-14T14:41:27.213Z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