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Capital Small Finance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CAPITALSFB | Small finance bank (Punjab-origin), ~Rs 1,341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1,341 Cr (smallcap, -2.1%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+29% YoY to Rs 41 Cr; FY26 net profit Rs 141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4.04% (FY26) improving to 4.21% (Q1 FY27), with more repricing-driven expansion expected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Loan Book Growth</w:t>
            </w:r>
          </w:p>
        </w:tc>
        <w:tc>
          <w:tcPr>
            <w:tcW w:type="dxa" w:w="5800"/>
          </w:tcPr>
          <w:p>
            <w:r>
              <w:t xml:space="preserve">+22% YoY to Rs 9,074 Cr (Jun 2026); Vision 2029 targets &gt;Rs 16,000 Cr advances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Target</w:t>
            </w:r>
          </w:p>
        </w:tc>
        <w:tc>
          <w:tcPr>
            <w:tcW w:type="dxa" w:w="5800"/>
          </w:tcPr>
          <w:p>
            <w:r>
              <w:t xml:space="preserve">Management targets &gt;15% ROE by FY29 (medium-term ambition, not yet achieved)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well-run, growing small finance bank with real, current momentum (22% loan growth, improving NIM, 29% profit growth). The important caveat: management's OWN 'Vision 2029' target is roughly doubling the loan book (Rs 9,074 Cr to Rs 16,000 Cr) - implying the bank's own long-term plan is a ~2x scale-up over ~3 years, not 10x. A 10x market cap outcome would require substantial P/B re-rating on top of that growth, which is a much higher bar for a regulated bank than for an industrial company.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Currently down slightly (-2.1% 1yr) despite the improving fundamentals - the market hasn't yet re-rated this on the recent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Presented as a banking case study at a well-regarded investor summit; genuine institutional/analyst interest in the growth story.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New statutory auditor (M/s GSA Associates LLP) appointed - a routine, disclosed corporate action, no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current loan growth (+22% YoY) and improving NIM (4.04% to 4.21%)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size (Rs 1,341 Cr) with theoretical re-rating headroom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credible medium-term guidance (Vision 2029) rather than vague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flat/slightly down despite improving fundamentals - a possible value gap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long-term target implies only ~2x loan-book growth by FY29, not a 10x scale - a 10x market cap would require unusually large multiple (P/B) expansion on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Regulated banking businesses are capital-constrained (can't grow loan books arbitrarily fast without raising capital)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target of &gt;15% is not yet achieved - current profitability is still building toward that goal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1,341 Cr) - genuine size headroom, but the bank's own growth targets imply a multi-x, not 10x, framework.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well-guided growth bank - but even management's own targets don't imply a 10x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operating momentum (loan growth, NIM, profit growth) is genuinely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bank's own Vision 2029 targets (~2x loan book) set a natural ceiling on what fundamentals alone can drive - a 10x needs an implausible re-rating on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understood as a solid multi-year compounder candidate rather than a 10x-specific play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2026-08-14T16:51:45.139Z</dcterms:created>
  <dcterms:modified xsi:type="dcterms:W3CDTF">2026-08-14T16:51:45.142Z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