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Cohance Lifesciences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COHANCE (formerly Suven Pharmaceuticals) | EXCLUDED - large-cap, ~Rs 16,988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16,988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8.35% / 7.04%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Results</w:t>
            </w:r>
          </w:p>
        </w:tc>
        <w:tc>
          <w:tcPr>
            <w:tcW w:type="dxa" w:w="5800"/>
          </w:tcPr>
          <w:p>
            <w:r>
              <w:t xml:space="preserve">Q4 profit -83.77% YoY; Q1 loss of Rs 24.1 Cr on -23.1% revenue decline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large-cap at ~Rs 17,000 Cr, and currently showing genuine fundamental deterioration (a loss-making quarter, sharp revenue decline) rather than growth - both size and current trend rule this out.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and fundamental-weakness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CDMO/pharma platform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16,988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loss-making with a sharp revenue decline - a genuine deterioration, not just a size issue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16,988 Cr) - excluded on size grounds.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and currently deteriorating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shows a real loss, not just slower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2026-08-14T15:20:59.365Z</dcterms:created>
  <dcterms:modified xsi:type="dcterms:W3CDTF">2026-08-14T15:20:59.371Z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