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Concord Biotech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CONCORDBIO | EXCLUDED - already large-cap (~Rs 15,114 Cr)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15,114 Cr (large-cap, -11.6%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Rs 1,112 Cr / Rs 282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Price/Book</w:t>
            </w:r>
          </w:p>
        </w:tc>
        <w:tc>
          <w:tcPr>
            <w:tcW w:type="dxa" w:w="5800"/>
          </w:tcPr>
          <w:p>
            <w:r>
              <w:t xml:space="preserve">7.48x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Genuine, disclosed curator ownership (the clearest conviction signal in that source's coverage), but already a Rs 15,000+ Cr large-cap - structurally outside a 10x-in-2-3-years microcap thesis regardless of ownership conviction.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Currently down -11.6% over the past year - not showing near-term momentum.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Explicit, disclosed portfolio ownership from the curator is a real signal of quality/conviction, just not compatible with this specific screen's size constraint.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Not researched further given the size-based exclusion.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Niche, hard-to-replicate fermentation-based API manufacturing capability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Explicit, disclosed curator ownership - the clearest conviction signal in its source coverage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large-cap (Rs 15,114 Cr) - structurally excluded from a 10x-in-2-3-years microcap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Currently down -11.6% over the past year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Large-cap (~Rs 15,114 Cr) - excluded on size grounds despite genuine curator conviction.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large-cap despite being the curator's own disclosed holding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 fails decisively regardless of the genuine ownership signal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may be a legitimate long-term holding outside this screen's specific 10x-in-2-3-years scope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2026-08-14T16:47:53.000Z</dcterms:created>
  <dcterms:modified xsi:type="dcterms:W3CDTF">2026-08-14T16:47:53.003Z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