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Devson Catalyst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 SME: 544823 | Catalysts/adsorbents/ceramic balls manufacturer, ~Rs 275 Cr, IPO Jul 2026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275 Cr (microcap, BSE SME platform)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(3yr)</w:t>
            </w:r>
          </w:p>
        </w:tc>
        <w:tc>
          <w:tcPr>
            <w:tcW w:type="dxa" w:w="5800"/>
          </w:tcPr>
          <w:p>
            <w:r>
              <w:t xml:space="preserve">43.2% (strong)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IPO</w:t>
            </w:r>
          </w:p>
        </w:tc>
        <w:tc>
          <w:tcPr>
            <w:tcW w:type="dxa" w:w="5800"/>
          </w:tcPr>
          <w:p>
            <w:r>
              <w:t xml:space="preserve">Listed at Rs 196.15, a 66.2% premium to the Rs 118 issue price (Jul 2026)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Strong historical ROE (43.2%) and a debt-free balance sheet, with a high-octane listing debut (+66% over issue price). Very limited public trading history (listed July 2026) means there isn't yet a multi-quarter track record as a public company.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applicable given the very short listed history (since Jul 2026) - too early for a meaningful technical read.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very recent listing; source sheet notes customer-concentration risk as the main flagged concern.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SME-platform listing - inherently lower liquidity/float than a mainboard stock, a structural constraint on position sizing regardless of fundamentals.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historical ROE (43.2%) and debt-free balance 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Import-substitution angle in a specialized industrial-materials niche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Strong listing debut reflects real investor demand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liquidity is a real, structural constraint - hard to build or exit a meaningful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limited public track record (listed Jul 2026) - no multi-quarter public data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sheet itself flags customer concentration risk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SME-platform (~Rs 275 Cr) - genuine fundamentals but liquidity-constrained.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Fundamentally sound but too new and too illiquid to size a real position with confidence yet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Pre-IPO fundamentals (ROE, debt-free) are genuinely strong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SME-platform liquidity remains the binding practical constraint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Needs 2-4 more quarters of public trading history before real conviction is possible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2026-08-14T15:27:00.216Z</dcterms:created>
  <dcterms:modified xsi:type="dcterms:W3CDTF">2026-08-14T15:27:00.221Z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