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Go Fashion (India) Ltd (Go Colors)</w:t>
      </w:r>
    </w:p>
    <w:p>
      <w:pPr>
        <w:pBdr>
          <w:bottom w:val="single" w:color="CCCCCC" w:sz="6" w:space="8"/>
        </w:pBdr>
        <w:spacing w:after="200"/>
      </w:pPr>
      <w:r>
        <w:rPr>
          <w:i/>
          <w:iCs/>
          <w:color w:val="666666"/>
          <w:sz w:val="22"/>
          <w:szCs w:val="22"/>
        </w:rPr>
        <w:t xml:space="preserve">NSE: GOCOLORS | Women's bottomwear retail brand, ~Rs 1,539-2,122 Cr, DOWN -52% in 1yr</w:t>
      </w:r>
    </w:p>
    <w:p>
      <w:pPr>
        <w:pStyle w:val="Heading1"/>
        <w:spacing w:after="120" w:before="280"/>
      </w:pPr>
      <w:r>
        <w:t xml:space="preserve">Business Overview</w:t>
      </w:r>
    </w:p>
    <w:p>
      <w:pPr>
        <w:spacing w:after="120"/>
      </w:pPr>
      <w:r/>
    </w:p>
    <w:p>
      <w:pPr>
        <w:pStyle w:val="Heading1"/>
        <w:spacing w:after="120" w:before="280"/>
      </w:pPr>
      <w:r>
        <w:t xml:space="preserve">Source / Conviction Notes (from original sheet)</w:t>
      </w:r>
    </w:p>
    <w:p>
      <w:pPr>
        <w:spacing w:after="120"/>
      </w:pPr>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1,539-2,122 Cr (smallcap, -52.3% in 1 year)</w:t>
            </w:r>
          </w:p>
        </w:tc>
      </w:tr>
      <w:tr>
        <w:tc>
          <w:tcPr>
            <w:tcW w:type="dxa" w:w="3200"/>
            <w:shd w:fill="F2F2F2" w:val="clear"/>
          </w:tcPr>
          <w:p>
            <w:r>
              <w:rPr>
                <w:b/>
                <w:bCs/>
              </w:rPr>
              <w:t xml:space="preserve">ROCE / ROE (FY26)</w:t>
            </w:r>
          </w:p>
        </w:tc>
        <w:tc>
          <w:tcPr>
            <w:tcW w:type="dxa" w:w="5800"/>
          </w:tcPr>
          <w:p>
            <w:r>
              <w:t xml:space="preserve">11.5% / 8.9% (down sharply from historical averages of ~13.9%/14.2%)</w:t>
            </w:r>
          </w:p>
        </w:tc>
      </w:tr>
      <w:tr>
        <w:tc>
          <w:tcPr>
            <w:tcW w:type="dxa" w:w="3200"/>
            <w:shd w:fill="F2F2F2" w:val="clear"/>
          </w:tcPr>
          <w:p>
            <w:r>
              <w:rPr>
                <w:b/>
                <w:bCs/>
              </w:rPr>
              <w:t xml:space="preserve">FY26 Revenue</w:t>
            </w:r>
          </w:p>
        </w:tc>
        <w:tc>
          <w:tcPr>
            <w:tcW w:type="dxa" w:w="5800"/>
          </w:tcPr>
          <w:p>
            <w:r>
              <w:t xml:space="preserve">Rs 838 Cr, flat YoY</w:t>
            </w:r>
          </w:p>
        </w:tc>
      </w:tr>
      <w:tr>
        <w:tc>
          <w:tcPr>
            <w:tcW w:type="dxa" w:w="3200"/>
            <w:shd w:fill="F2F2F2" w:val="clear"/>
          </w:tcPr>
          <w:p>
            <w:r>
              <w:rPr>
                <w:b/>
                <w:bCs/>
              </w:rPr>
              <w:t xml:space="preserve">FY26 EBITDA Margin</w:t>
            </w:r>
          </w:p>
        </w:tc>
        <w:tc>
          <w:tcPr>
            <w:tcW w:type="dxa" w:w="5800"/>
          </w:tcPr>
          <w:p>
            <w:r>
              <w:t xml:space="preserve">28.3%, down from 32% in FY25</w:t>
            </w:r>
          </w:p>
        </w:tc>
      </w:tr>
      <w:tr>
        <w:tc>
          <w:tcPr>
            <w:tcW w:type="dxa" w:w="3200"/>
            <w:shd w:fill="F2F2F2" w:val="clear"/>
          </w:tcPr>
          <w:p>
            <w:r>
              <w:rPr>
                <w:b/>
                <w:bCs/>
              </w:rPr>
              <w:t xml:space="preserve">FY26 PAT</w:t>
            </w:r>
          </w:p>
        </w:tc>
        <w:tc>
          <w:tcPr>
            <w:tcW w:type="dxa" w:w="5800"/>
          </w:tcPr>
          <w:p>
            <w:r>
              <w:t xml:space="preserve">Rs 59 Cr, down from Rs 92 Cr - Q3 profit fell 71% YoY, Q4 fell 60% YoY</w:t>
            </w:r>
          </w:p>
        </w:tc>
      </w:tr>
    </w:tbl>
    <w:p>
      <w:pPr>
        <w:spacing w:after="100"/>
      </w:pPr>
    </w:p>
    <w:p>
      <w:pPr>
        <w:spacing w:after="120"/>
      </w:pPr>
      <w:r>
        <w:t xml:space="preserve">This is a genuine multi-quarter deterioration, not a one-off: MarketsMojo's own quarterly headlines across FY26 tell a consistent story - 'Margin Pressures Mount Amid Sluggish Demand' (Q2), 'Profit Plunges 71%' (Q3), 'Margin Compression and Weak Demand Cloud Growth Story' (Q4). Revenue has stagnated (flat YoY) while margins and profit have fallen sharply. The most recent available coverage (Q1 review) is titled 'Signs of Stabilisation Amid Lingering Challenges' - a cautiously less-negative tone, but still describing ongoing challenges, not a clean recovery.</w:t>
      </w:r>
    </w:p>
    <w:p>
      <w:pPr>
        <w:pStyle w:val="Heading1"/>
        <w:spacing w:after="120" w:before="280"/>
      </w:pPr>
      <w:r>
        <w:t xml:space="preserve">Technical Read (Weekly / Monthly)</w:t>
      </w:r>
    </w:p>
    <w:p>
      <w:pPr>
        <w:spacing w:after="120"/>
      </w:pPr>
      <w:r>
        <w:t xml:space="preserve">Down -52.3% over the past year - a severe, sustained decline consistent with the deteriorating fundamentals.</w:t>
      </w:r>
    </w:p>
    <w:p>
      <w:pPr>
        <w:pStyle w:val="Heading1"/>
        <w:spacing w:after="120" w:before="280"/>
      </w:pPr>
      <w:r>
        <w:t xml:space="preserve">ValuePickr + X Sentiment</w:t>
      </w:r>
    </w:p>
    <w:p>
      <w:pPr>
        <w:spacing w:after="120"/>
      </w:pPr>
      <w:r>
        <w:t xml:space="preserve">Independent, repeated MarketsMojo coverage across FY26 consistently describes deteriorating conditions - this is well-documented, not speculative.</w:t>
      </w:r>
    </w:p>
    <w:p>
      <w:pPr>
        <w:pStyle w:val="Heading1"/>
        <w:spacing w:after="120" w:before="280"/>
      </w:pPr>
      <w:r>
        <w:t xml:space="preserve">BSE Corporate Actions / Red Flags</w:t>
      </w:r>
    </w:p>
    <w:p>
      <w:pPr>
        <w:spacing w:after="120"/>
      </w:pPr>
      <w:r>
        <w:t xml:space="preserve">Not researched further given the clear fundamental deterioration.</w:t>
      </w:r>
    </w:p>
    <w:p>
      <w:pPr>
        <w:pStyle w:val="Heading1"/>
        <w:spacing w:after="120" w:before="280"/>
      </w:pPr>
      <w:r>
        <w:t xml:space="preserve">Bull Case</w:t>
      </w:r>
    </w:p>
    <w:p>
      <w:pPr>
        <w:pStyle w:val="ListParagraph"/>
        <w:numPr>
          <w:ilvl w:val="0"/>
          <w:numId w:val="1"/>
        </w:numPr>
        <w:spacing w:after="60"/>
      </w:pPr>
      <w:r>
        <w:t xml:space="preserve">Recognizable, established branded retail franchise (Go Colors) in a large underlying category (women's bottomwear)</w:t>
      </w:r>
    </w:p>
    <w:p>
      <w:pPr>
        <w:pStyle w:val="ListParagraph"/>
        <w:numPr>
          <w:ilvl w:val="0"/>
          <w:numId w:val="1"/>
        </w:numPr>
        <w:spacing w:after="60"/>
      </w:pPr>
      <w:r>
        <w:t xml:space="preserve">Most recent available commentary suggests 'signs of stabilisation' - could represent an early-stage bottoming process</w:t>
      </w:r>
    </w:p>
    <w:p>
      <w:pPr>
        <w:pStyle w:val="ListParagraph"/>
        <w:numPr>
          <w:ilvl w:val="0"/>
          <w:numId w:val="1"/>
        </w:numPr>
        <w:spacing w:after="60"/>
      </w:pPr>
      <w:r>
        <w:t xml:space="preserve">Stock already down -52%, meaning much of the bad news may be priced in</w:t>
      </w:r>
    </w:p>
    <w:p>
      <w:pPr>
        <w:pStyle w:val="Heading1"/>
        <w:spacing w:after="120" w:before="280"/>
      </w:pPr>
      <w:r>
        <w:t xml:space="preserve">Bear Case / Key Risks</w:t>
      </w:r>
    </w:p>
    <w:p>
      <w:pPr>
        <w:pStyle w:val="ListParagraph"/>
        <w:numPr>
          <w:ilvl w:val="0"/>
          <w:numId w:val="1"/>
        </w:numPr>
        <w:spacing w:after="60"/>
      </w:pPr>
      <w:r>
        <w:t xml:space="preserve">Sustained, multi-quarter margin compression and profit decline (Q3 -71%, Q4 -60% YoY) - a real structural issue, not a one-off</w:t>
      </w:r>
    </w:p>
    <w:p>
      <w:pPr>
        <w:pStyle w:val="ListParagraph"/>
        <w:numPr>
          <w:ilvl w:val="0"/>
          <w:numId w:val="1"/>
        </w:numPr>
        <w:spacing w:after="60"/>
      </w:pPr>
      <w:r>
        <w:t xml:space="preserve">Revenue has stagnated (flat YoY) - no growth to offset the margin pressure</w:t>
      </w:r>
    </w:p>
    <w:p>
      <w:pPr>
        <w:pStyle w:val="ListParagraph"/>
        <w:numPr>
          <w:ilvl w:val="0"/>
          <w:numId w:val="1"/>
        </w:numPr>
        <w:spacing w:after="60"/>
      </w:pPr>
      <w:r>
        <w:t xml:space="preserve">ROCE/ROE both fell sharply from historical levels</w:t>
      </w:r>
    </w:p>
    <w:p>
      <w:pPr>
        <w:pStyle w:val="ListParagraph"/>
        <w:numPr>
          <w:ilvl w:val="0"/>
          <w:numId w:val="1"/>
        </w:numPr>
        <w:spacing w:after="60"/>
      </w:pPr>
      <w:r>
        <w:t xml:space="preserve">'Stabilisation' language in the latest available commentary is cautious, not a confirmed turnaround</w:t>
      </w:r>
    </w:p>
    <w:p>
      <w:pPr>
        <w:pStyle w:val="Heading1"/>
        <w:spacing w:after="120" w:before="280"/>
      </w:pPr>
      <w:r>
        <w:t xml:space="preserve">Market-Cap Tier</w:t>
      </w:r>
    </w:p>
    <w:p>
      <w:pPr>
        <w:spacing w:after="120"/>
      </w:pPr>
      <w:r>
        <w:rPr>
          <w:b/>
          <w:bCs/>
        </w:rPr>
        <w:t xml:space="preserve">Smallcap (~Rs 1,539-2,122 Cr) - genuine size headroom, but currently in a documented multi-quarter decline, not a growth setup.</w:t>
      </w:r>
    </w:p>
    <w:p>
      <w:pPr>
        <w:pStyle w:val="Heading1"/>
        <w:spacing w:after="120" w:before="280"/>
      </w:pPr>
      <w:r>
        <w:t xml:space="preserve">10x-in-2-3-Years Plausibility Verdict</w:t>
      </w:r>
    </w:p>
    <w:p>
      <w:pPr>
        <w:spacing w:after="120"/>
      </w:pPr>
      <w:r>
        <w:rPr>
          <w:b/>
          <w:bCs/>
          <w:sz w:val="24"/>
          <w:szCs w:val="24"/>
        </w:rPr>
        <w:t xml:space="preserve">In a real, sustained decline - wait for confirmed stabilisation before considering</w:t>
      </w:r>
    </w:p>
    <w:p>
      <w:pPr>
        <w:pStyle w:val="ListParagraph"/>
        <w:numPr>
          <w:ilvl w:val="0"/>
          <w:numId w:val="1"/>
        </w:numPr>
        <w:spacing w:after="60"/>
      </w:pPr>
      <w:r>
        <w:t xml:space="preserve">The deterioration is well-documented across multiple independent quarterly analyses, not a single bad quarter</w:t>
      </w:r>
    </w:p>
    <w:p>
      <w:pPr>
        <w:pStyle w:val="ListParagraph"/>
        <w:numPr>
          <w:ilvl w:val="0"/>
          <w:numId w:val="1"/>
        </w:numPr>
        <w:spacing w:after="60"/>
      </w:pPr>
      <w:r>
        <w:t xml:space="preserve">The 'signs of stabilisation' framing in the latest commentary is worth monitoring but is not yet a confirmed turnaround</w:t>
      </w:r>
    </w:p>
    <w:p>
      <w:pPr>
        <w:pStyle w:val="ListParagraph"/>
        <w:numPr>
          <w:ilvl w:val="0"/>
          <w:numId w:val="1"/>
        </w:numPr>
        <w:spacing w:after="60"/>
      </w:pPr>
      <w:r>
        <w:t xml:space="preserve">A -52% stock decline could represent value IF the business genuinely stabilizes, but that isn't yet proven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2026-08-14T16:55:53.183Z</dcterms:created>
  <dcterms:modified xsi:type="dcterms:W3CDTF">2026-08-14T16:55:53.189Z</dcterms:modified>
</cp:coreProperties>
</file>

<file path=docProps/custom.xml><?xml version="1.0" encoding="utf-8"?>
<Properties xmlns="http://schemas.openxmlformats.org/officeDocument/2006/custom-properties" xmlns:vt="http://schemas.openxmlformats.org/officeDocument/2006/docPropsVTypes"/>
</file>