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MV Electrosystems Ltd</w:t>
      </w:r>
    </w:p>
    <w:p>
      <w:pPr>
        <w:pBdr>
          <w:bottom w:val="single" w:color="CCCCCC" w:sz="6" w:space="8"/>
        </w:pBdr>
        <w:spacing w:after="200"/>
      </w:pPr>
      <w:r>
        <w:rPr>
          <w:i/>
          <w:iCs/>
          <w:color w:val="666666"/>
          <w:sz w:val="22"/>
          <w:szCs w:val="22"/>
        </w:rPr>
        <w:t xml:space="preserve">NSE: MVELECTRO / BSE: 544851 | Railway propulsion/power electronics, ~Rs 1,669 Cr - listed status CONFIRMED, IPO Jul-Aug 2026</w:t>
      </w:r>
    </w:p>
    <w:p>
      <w:pPr>
        <w:pStyle w:val="Heading1"/>
        <w:spacing w:after="120" w:before="280"/>
      </w:pPr>
      <w:r>
        <w:t xml:space="preserve">Business Overview</w:t>
      </w:r>
    </w:p>
    <w:p>
      <w:pPr>
        <w:spacing w:after="120"/>
      </w:pPr>
      <w:r/>
    </w:p>
    <w:p>
      <w:pPr>
        <w:pStyle w:val="Heading1"/>
        <w:spacing w:after="120" w:before="280"/>
      </w:pPr>
      <w:r>
        <w:t xml:space="preserve">Source / Conviction Notes (from original sheet)</w:t>
      </w:r>
    </w:p>
    <w:p>
      <w:pPr>
        <w:spacing w:after="120"/>
      </w:pPr>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1,669 Cr (smallcap)</w:t>
            </w:r>
          </w:p>
        </w:tc>
      </w:tr>
      <w:tr>
        <w:tc>
          <w:tcPr>
            <w:tcW w:type="dxa" w:w="3200"/>
            <w:shd w:fill="F2F2F2" w:val="clear"/>
          </w:tcPr>
          <w:p>
            <w:r>
              <w:rPr>
                <w:b/>
                <w:bCs/>
              </w:rPr>
              <w:t xml:space="preserve">FY26 Revenue</w:t>
            </w:r>
          </w:p>
        </w:tc>
        <w:tc>
          <w:tcPr>
            <w:tcW w:type="dxa" w:w="5800"/>
          </w:tcPr>
          <w:p>
            <w:r>
              <w:t xml:space="preserve">Rs 49.43 Cr, DOWN -21.09% from Rs 62.64 Cr in FY25</w:t>
            </w:r>
          </w:p>
        </w:tc>
      </w:tr>
      <w:tr>
        <w:tc>
          <w:tcPr>
            <w:tcW w:type="dxa" w:w="3200"/>
            <w:shd w:fill="F2F2F2" w:val="clear"/>
          </w:tcPr>
          <w:p>
            <w:r>
              <w:rPr>
                <w:b/>
                <w:bCs/>
              </w:rPr>
              <w:t xml:space="preserve">FY26 Result</w:t>
            </w:r>
          </w:p>
        </w:tc>
        <w:tc>
          <w:tcPr>
            <w:tcW w:type="dxa" w:w="5800"/>
          </w:tcPr>
          <w:p>
            <w:r>
              <w:t xml:space="preserve">Net LOSS Rs 12.63 Cr, reversing FY25's Rs 1.40 Cr profit</w:t>
            </w:r>
          </w:p>
        </w:tc>
      </w:tr>
      <w:tr>
        <w:tc>
          <w:tcPr>
            <w:tcW w:type="dxa" w:w="3200"/>
            <w:shd w:fill="F2F2F2" w:val="clear"/>
          </w:tcPr>
          <w:p>
            <w:r>
              <w:rPr>
                <w:b/>
                <w:bCs/>
              </w:rPr>
              <w:t xml:space="preserve">ROE / ROCE</w:t>
            </w:r>
          </w:p>
        </w:tc>
        <w:tc>
          <w:tcPr>
            <w:tcW w:type="dxa" w:w="5800"/>
          </w:tcPr>
          <w:p>
            <w:r>
              <w:t xml:space="preserve">-31.55% / -17.69% (currently negative)</w:t>
            </w:r>
          </w:p>
        </w:tc>
      </w:tr>
      <w:tr>
        <w:tc>
          <w:tcPr>
            <w:tcW w:type="dxa" w:w="3200"/>
            <w:shd w:fill="F2F2F2" w:val="clear"/>
          </w:tcPr>
          <w:p>
            <w:r>
              <w:rPr>
                <w:b/>
                <w:bCs/>
              </w:rPr>
              <w:t xml:space="preserve">Order Book</w:t>
            </w:r>
          </w:p>
        </w:tc>
        <w:tc>
          <w:tcPr>
            <w:tcW w:type="dxa" w:w="5800"/>
          </w:tcPr>
          <w:p>
            <w:r>
              <w:t xml:space="preserve">Rs 921.64 Cr executable order book as of Jun 2026 - ~18.6x FY26 revenue</w:t>
            </w:r>
          </w:p>
        </w:tc>
      </w:tr>
      <w:tr>
        <w:tc>
          <w:tcPr>
            <w:tcW w:type="dxa" w:w="3200"/>
            <w:shd w:fill="F2F2F2" w:val="clear"/>
          </w:tcPr>
          <w:p>
            <w:r>
              <w:rPr>
                <w:b/>
                <w:bCs/>
              </w:rPr>
              <w:t xml:space="preserve">IPO</w:t>
            </w:r>
          </w:p>
        </w:tc>
        <w:tc>
          <w:tcPr>
            <w:tcW w:type="dxa" w:w="5800"/>
          </w:tcPr>
          <w:p>
            <w:r>
              <w:t xml:space="preserve">Rs 290 Cr issue, opened Jul 30 - closed Aug 3, 2026 - very fresh listing</w:t>
            </w:r>
          </w:p>
        </w:tc>
      </w:tr>
    </w:tbl>
    <w:p>
      <w:pPr>
        <w:spacing w:after="100"/>
      </w:pPr>
    </w:p>
    <w:p>
      <w:pPr>
        <w:spacing w:after="120"/>
      </w:pPr>
      <w:r>
        <w:t xml:space="preserve">A genuinely difficult current financial picture (revenue down 21%, swung to a loss, negative ROE/ROCE) sits alongside a very large order book (18.6x FY26 revenue) - a pattern common in capital-goods/railway-equipment names where revenue recognition lags order execution. The order book gives real forward visibility IF the company can execute and convert it, but the current numbers alone would not support investment - this is entirely a bet on execution converting the order book into revenue/profit over the next 1-2 years.</w:t>
      </w:r>
    </w:p>
    <w:p>
      <w:pPr>
        <w:pStyle w:val="Heading1"/>
        <w:spacing w:after="120" w:before="280"/>
      </w:pPr>
      <w:r>
        <w:t xml:space="preserve">Technical Read (Weekly / Monthly)</w:t>
      </w:r>
    </w:p>
    <w:p>
      <w:pPr>
        <w:spacing w:after="120"/>
      </w:pPr>
      <w:r>
        <w:t xml:space="preserve">Not applicable given the very fresh listing (IPO closed Aug 3, 2026) - no meaningful trading history yet.</w:t>
      </w:r>
    </w:p>
    <w:p>
      <w:pPr>
        <w:pStyle w:val="Heading1"/>
        <w:spacing w:after="120" w:before="280"/>
      </w:pPr>
      <w:r>
        <w:t xml:space="preserve">ValuePickr + X Sentiment</w:t>
      </w:r>
    </w:p>
    <w:p>
      <w:pPr>
        <w:spacing w:after="120"/>
      </w:pPr>
      <w:r>
        <w:t xml:space="preserve">Not researched in depth given the very recent listing; source sheet gave no additional detail beyond the summit presentation mention.</w:t>
      </w:r>
    </w:p>
    <w:p>
      <w:pPr>
        <w:pStyle w:val="Heading1"/>
        <w:spacing w:after="120" w:before="280"/>
      </w:pPr>
      <w:r>
        <w:t xml:space="preserve">BSE Corporate Actions / Red Flags</w:t>
      </w:r>
    </w:p>
    <w:p>
      <w:pPr>
        <w:spacing w:after="120"/>
      </w:pPr>
      <w:r>
        <w:t xml:space="preserve">Very fresh IPO (closed Aug 3, 2026) - essentially no public trading history to assess yet.</w:t>
      </w:r>
    </w:p>
    <w:p>
      <w:pPr>
        <w:pStyle w:val="Heading1"/>
        <w:spacing w:after="120" w:before="280"/>
      </w:pPr>
      <w:r>
        <w:t xml:space="preserve">Bull Case</w:t>
      </w:r>
    </w:p>
    <w:p>
      <w:pPr>
        <w:pStyle w:val="ListParagraph"/>
        <w:numPr>
          <w:ilvl w:val="0"/>
          <w:numId w:val="1"/>
        </w:numPr>
        <w:spacing w:after="60"/>
      </w:pPr>
      <w:r>
        <w:t xml:space="preserve">Very large order book (Rs 921.64 Cr) relative to current revenue - if executed, implies substantial future revenue growth</w:t>
      </w:r>
    </w:p>
    <w:p>
      <w:pPr>
        <w:pStyle w:val="ListParagraph"/>
        <w:numPr>
          <w:ilvl w:val="0"/>
          <w:numId w:val="1"/>
        </w:numPr>
        <w:spacing w:after="60"/>
      </w:pPr>
      <w:r>
        <w:t xml:space="preserve">Niche, specialized railway propulsion/power-electronics capability with real barriers to entry</w:t>
      </w:r>
    </w:p>
    <w:p>
      <w:pPr>
        <w:pStyle w:val="ListParagraph"/>
        <w:numPr>
          <w:ilvl w:val="0"/>
          <w:numId w:val="1"/>
        </w:numPr>
        <w:spacing w:after="60"/>
      </w:pPr>
      <w:r>
        <w:t xml:space="preserve">Genuine microcap/smallcap size with theoretical headroom if execution succeeds</w:t>
      </w:r>
    </w:p>
    <w:p>
      <w:pPr>
        <w:pStyle w:val="Heading1"/>
        <w:spacing w:after="120" w:before="280"/>
      </w:pPr>
      <w:r>
        <w:t xml:space="preserve">Bear Case / Key Risks</w:t>
      </w:r>
    </w:p>
    <w:p>
      <w:pPr>
        <w:pStyle w:val="ListParagraph"/>
        <w:numPr>
          <w:ilvl w:val="0"/>
          <w:numId w:val="1"/>
        </w:numPr>
        <w:spacing w:after="60"/>
      </w:pPr>
      <w:r>
        <w:t xml:space="preserve">Currently loss-making with negative ROE/ROCE - a real, not hypothetical, execution problem right now</w:t>
      </w:r>
    </w:p>
    <w:p>
      <w:pPr>
        <w:pStyle w:val="ListParagraph"/>
        <w:numPr>
          <w:ilvl w:val="0"/>
          <w:numId w:val="1"/>
        </w:numPr>
        <w:spacing w:after="60"/>
      </w:pPr>
      <w:r>
        <w:t xml:space="preserve">Revenue actually declined 21% YoY in the most recent full year - the opposite of a growth trend</w:t>
      </w:r>
    </w:p>
    <w:p>
      <w:pPr>
        <w:pStyle w:val="ListParagraph"/>
        <w:numPr>
          <w:ilvl w:val="0"/>
          <w:numId w:val="1"/>
        </w:numPr>
        <w:spacing w:after="60"/>
      </w:pPr>
      <w:r>
        <w:t xml:space="preserve">No public trading history yet (IPO just closed) - essentially unknown/unproven as a listed entity</w:t>
      </w:r>
    </w:p>
    <w:p>
      <w:pPr>
        <w:pStyle w:val="ListParagraph"/>
        <w:numPr>
          <w:ilvl w:val="0"/>
          <w:numId w:val="1"/>
        </w:numPr>
        <w:spacing w:after="60"/>
      </w:pPr>
      <w:r>
        <w:t xml:space="preserve">Order-book-to-revenue conversion risk is the entire thesis and is unverified</w:t>
      </w:r>
    </w:p>
    <w:p>
      <w:pPr>
        <w:pStyle w:val="Heading1"/>
        <w:spacing w:after="120" w:before="280"/>
      </w:pPr>
      <w:r>
        <w:t xml:space="preserve">Market-Cap Tier</w:t>
      </w:r>
    </w:p>
    <w:p>
      <w:pPr>
        <w:spacing w:after="120"/>
      </w:pPr>
      <w:r>
        <w:rPr>
          <w:b/>
          <w:bCs/>
        </w:rPr>
        <w:t xml:space="preserve">Smallcap (~Rs 1,669 Cr) - genuine size headroom, but currently pre-revenue-recognition on its order book with real, current losses.</w:t>
      </w:r>
    </w:p>
    <w:p>
      <w:pPr>
        <w:pStyle w:val="Heading1"/>
        <w:spacing w:after="120" w:before="280"/>
      </w:pPr>
      <w:r>
        <w:t xml:space="preserve">10x-in-2-3-Years Plausibility Verdict</w:t>
      </w:r>
    </w:p>
    <w:p>
      <w:pPr>
        <w:spacing w:after="120"/>
      </w:pPr>
      <w:r>
        <w:rPr>
          <w:b/>
          <w:bCs/>
          <w:sz w:val="24"/>
          <w:szCs w:val="24"/>
        </w:rPr>
        <w:t xml:space="preserve">High-risk, early-stage order-book bet - current financials are weak, thesis depends entirely on future execution</w:t>
      </w:r>
    </w:p>
    <w:p>
      <w:pPr>
        <w:pStyle w:val="ListParagraph"/>
        <w:numPr>
          <w:ilvl w:val="0"/>
          <w:numId w:val="1"/>
        </w:numPr>
        <w:spacing w:after="60"/>
      </w:pPr>
      <w:r>
        <w:t xml:space="preserve">The order book (18.6x FY26 revenue) is the entire bull case and needs to be watched for actual conversion into revenue over the coming quarters</w:t>
      </w:r>
    </w:p>
    <w:p>
      <w:pPr>
        <w:pStyle w:val="ListParagraph"/>
        <w:numPr>
          <w:ilvl w:val="0"/>
          <w:numId w:val="1"/>
        </w:numPr>
        <w:spacing w:after="60"/>
      </w:pPr>
      <w:r>
        <w:t xml:space="preserve">Current financials (declining revenue, net loss, negative returns) do not support investment on their own merits</w:t>
      </w:r>
    </w:p>
    <w:p>
      <w:pPr>
        <w:pStyle w:val="ListParagraph"/>
        <w:numPr>
          <w:ilvl w:val="0"/>
          <w:numId w:val="1"/>
        </w:numPr>
        <w:spacing w:after="60"/>
      </w:pPr>
      <w:r>
        <w:t xml:space="preserve">No trading history yet - too early to assess market reception or technical posture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2026-08-14T17:00:13.923Z</dcterms:created>
  <dcterms:modified xsi:type="dcterms:W3CDTF">2026-08-14T17:00:13.929Z</dcterms:modified>
</cp:coreProperties>
</file>

<file path=docProps/custom.xml><?xml version="1.0" encoding="utf-8"?>
<Properties xmlns="http://schemas.openxmlformats.org/officeDocument/2006/custom-properties" xmlns:vt="http://schemas.openxmlformats.org/officeDocument/2006/docPropsVTypes"/>
</file>