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Macpower CNC Machines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MACPOWER | CNC machine tools manufacturer, ~Rs 1,750 Cr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1,750 Cr (smallcap)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27-29% / 19-21%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5yr Revenue CAGR</w:t>
            </w:r>
          </w:p>
        </w:tc>
        <w:tc>
          <w:tcPr>
            <w:tcW w:type="dxa" w:w="5800"/>
          </w:tcPr>
          <w:p>
            <w:r>
              <w:t xml:space="preserve">24-26% (vs 16.84% industry)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FY25 Revenue Growth</w:t>
            </w:r>
          </w:p>
        </w:tc>
        <w:tc>
          <w:tcPr>
            <w:tcW w:type="dxa" w:w="5800"/>
          </w:tcPr>
          <w:p>
            <w:r>
              <w:t xml:space="preserve">8.6% - a moderation from the 5yr trend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long-term capital efficiency and above-industry 5-year growth, but FY25 growth moderated sharply to 8.6%. MarketsMojo's Q3 FY26 coverage was titled 'Robust Growth Momentum Continues Amid Margin Expansion' - suggesting the moderation may have been temporary, with recent quarters reaccelerating.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independently verified this pass; MarketsMojo has separately noted 'valuation shifts signal changing market sentiment,' indicating active repricing underway.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Source sheet explicitly notes the curator's conviction persists 'despite mixed external feedback' - a genuine, examined thesis rather than uncritical enthusiasm, and independent MarketsMojo coverage corroborates recent momentum.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Near-zero debt confirmed via source sheet; no red flag surfaced independently.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capital efficiency (ROCE ~28%, ROE ~20%) with near-zero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(MarketsMojo) confirmation of 'robust growth momentum' continuing into Q3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Manufacturing value-chain upgrade theme (premium machine mix) is a real structural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Curator's own conviction survived scrutiny against mixed external feedback, adding credibility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FY25 growth moderated sharply (8.6%) versus the 5-year trend (24-26%) - needs confirmation this was temporary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capital-goods segment tied to broader manufacturing capex cycles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Smallcap (~Rs 1,750 Cr) - genuine headroom with a credible, scrutinized thesis.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Credible, scrutinized quality-growth thesis with a recent growth wobble that appears to be resolving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(ROCE, debt profile) are genuinely strong and independently corroborated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FY25 growth slowdown is a real data point but Q3 FY26 independent coverage suggests reacceleration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tracking the next 1-2 quarters to confirm the growth trend has resumed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2026-08-14T15:45:58.731Z</dcterms:created>
  <dcterms:modified xsi:type="dcterms:W3CDTF">2026-08-14T15:45:58.735Z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