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NDL Ventures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BSE/NSE: NDLVENTURE (formerly NXTDIGITAL) | EXCLUDED - reverse-merger vehicle, not a growth microcap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NDL Ventures pre-merger market cap</w:t>
            </w:r>
          </w:p>
        </w:tc>
        <w:tc>
          <w:tcPr>
            <w:tcW w:type="dxa" w:w="5800"/>
          </w:tcPr>
          <w:p>
            <w:r>
              <w:t xml:space="preserve">Rs 437 Cr (the shell entity, not representative of the combined entity)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HLF scale</w:t>
            </w:r>
          </w:p>
        </w:tc>
        <w:tc>
          <w:tcPr>
            <w:tcW w:type="dxa" w:w="5800"/>
          </w:tcPr>
          <w:p>
            <w:r>
              <w:t xml:space="preserve">~Rs 72,000 Cr AUM - a large NBFC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HLF listed reference price/P/B</w:t>
            </w:r>
          </w:p>
        </w:tc>
        <w:tc>
          <w:tcPr>
            <w:tcW w:type="dxa" w:w="5800"/>
          </w:tcPr>
          <w:p>
            <w:r>
              <w:t xml:space="preserve">~Rs 265, P/B ~1.66x; implied post-merger NDL price ~Rs 98.1, P/B ~1.53x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not a conventional growth-microcap story - it's a reverse merger designed to bring a large, already-substantial NBFC to public markets via a small existing listing. The relevant valuation question is whether the swap ratio undervalues HLF relative to fair NBFC valuation, not whether NDL's own small business will grow 10x.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Stock hit a 20% upper circuit in Feb 2026 on CCI approval news - the market has already reacted sharply to the merger catalyst; further re-rating (if any) needs a mispricing case, not a growth case.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Coverage framed this explicitly as a 'backdoor IPO' unlocking HLF's value via the listed shell - a special-situation/merger-arbitrage thesis, structurally different from every other name in this batch.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NCLT, CCI, and RBI approvals all obtained; shareholder meeting approved the scheme (30 Jul 2026). This is a well-advanced, largely de-risked corporate action, not a speculative rumor.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access to a large, established NBFC (HLF, ~Rs 72,000 Cr AUM) via the merger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approvals are largely complete - low remaining execution risk on the deal itself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Once the merger completes, the combined entity is a large-cap NBFC - it will no longer be a microcap by definition, structurally incompatible with a 'microcap 10x in 2-3 years'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Much of the re-rating already happened (20% upper circuit in Feb 2026) - upside from here depends on a specific HLF-undervaluation thesis this research did not verify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requires NBFC-specific valuation analysis (book value, credit quality, AUM growth) rather than the microcap-growth framework used elsewhere in this project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Transitioning from microcap shell to large-cap NBFC - excluded from this screen on structural/category grounds, not a size-headroom judgment.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not a microcap growth story, it's a large-NBFC reverse listing; different analysis framework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merger-arbitrage/backdoor-listing situation, not a candidate for a microcap-to-10x growth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post-merger entity is large-cap by construction - structurally outside this project's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flagging to the user as interesting but recommend separate NBFC-specific due diligence if of interest, outside this ranking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2026-08-14T15:12:14.192Z</dcterms:created>
  <dcterms:modified xsi:type="dcterms:W3CDTF">2026-08-14T15:12:14.196Z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