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NRB Bearings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NRBBEARING | EXCLUDED - already upper-midcap (~Rs 4,474-4,509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4,474-4,509 Cr (upper-midcap, +62.6%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1,395 Cr / Rs 151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5800"/>
          </w:tcPr>
          <w:p>
            <w:r>
              <w:t xml:space="preserve">A DIFFERENT, much smaller company 'NRB Industrial Bearings Ltd' (NIBL) exists at ~Rs 73.8 Cr - do not confuse the two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Dominant needle-roller-bearing market leader (60% share) with a strong recent run (+62.6% 1yr), but already an upper-midcap at ~Rs 4,500 Cr - a 10x is not realistic within 2-3 years at this size.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1-year momentum (+62.6%).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market position (60% share in needle roller bearings) with real strong recent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4,474-4,509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separate, similarly-named but much smaller company exists (NIBL) - genuine risk of confusing the two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4,474-4,509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Disambiguation note: the much smaller 'NRB Industrial Bearings Ltd' is a distinct entity not covered by this research - worth checking separately if that was actually the intended name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2026-08-14T16:49:25.651Z</dcterms:created>
  <dcterms:modified xsi:type="dcterms:W3CDTF">2026-08-14T16:49:25.657Z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