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Praj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PRAJIND | EXCLUDED - already upper-midcap (~Rs 5,909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5,909-5,911 Cr (upper-midcap, -19.9%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3,168 Cr / Rs 23.8 Cr (very thin ~0.75% net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(3yr)</w:t>
            </w:r>
          </w:p>
        </w:tc>
        <w:tc>
          <w:tcPr>
            <w:tcW w:type="dxa" w:w="5800"/>
          </w:tcPr>
          <w:p>
            <w:r>
              <w:t xml:space="preserve">11.7%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32.8% (low)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an upper-midcap at ~Rs 5,900 Cr, currently down -19.9% over the past year, with a very thin net margin (~0.75%) on Rs 3,168 Cr revenue and a relatively low promoter holding (32.8%) - the combination of size, weak recent trend, and thin profitability argues against this fitting a 10x-in-2-3-years microcap thesis.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Down -19.9% over the past year per Screener - a weak recent trend.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 and fundamental-weakness combination.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engineering leader in the ethanol/bioenergy space with policy tailwinds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 year could represent value for size-agnostic investors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(~Rs 5,900 Cr) - a genuine 10x is a very high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thin net margin (~0.75%) despite meaningful revenue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down -19.9% over 1 year, weak ROE (11.7%), and relatively low promoter holding (32.8%)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5,909 Cr) - excluded on size + weak-trend grounds.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too large, thin margins, negative recent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is limited for a genuine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(thin margin, weak ROE) don't support high conviction even setting size aside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2026-08-14T15:19:48.604Z</dcterms:created>
  <dcterms:modified xsi:type="dcterms:W3CDTF">2026-08-14T15:19:48.610Z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