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Ritco Logistics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BSE: RITCO | Smallcap logistics/transport, ~Rs 864 Cr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864 Cr (smallcap)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21.0x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8.24% / 9.90% (modest)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19.36% (vs 0% industry median)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Q4 FY26 PAT</w:t>
            </w:r>
          </w:p>
        </w:tc>
        <w:tc>
          <w:tcPr>
            <w:tcW w:type="dxa" w:w="5800"/>
          </w:tcPr>
          <w:p>
            <w:r>
              <w:t xml:space="preserve">Rs 5.60 Cr, down -53.2% YoY - a real recent weak spot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revenue growth well ahead of a stagnant industry, but returns on capital are only modest and the most recent quarter's profit fell sharply YoY - a genuine near-term earnings-quality concern beneath the growth headline.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Confirmed uptrend: fresh 52-week high (~Rs 315-318) as recently as Aug 4-12, 2026, described by MarketsMojo as 'broad-based technical strength.'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Dedicated ValuePickr thread since 2021 ('Ritco Logistics - Microcap opportunity') - a long-tenured, community-vetted name rather than a fresh speculative one.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red flag surfaced in available search results.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growing far faster than a stagnant industry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Confirmed, current technical strength (fresh 52-week high)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Long-tenured ValuePickr coverage since 2021 - real community track record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PAT fell 53% YoY - a real, recent earnings-quality red flag under the growth headline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ROCE/ROE both modest (~8-10%) despite the strong top-line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at a 52-week high - limited near-term margin of safety on entry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Smallcap (~Rs 864 Cr) - genuine headroom, tempered by the recent profit miss.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momentum and community track record, but the recent profit drop needs explaining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and technical momentum are both genuinely strong and current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sharp Q4 PAT decline is a real risk that needs resolution before high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 community history reduces (but doesn't eliminate) diligence risk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2026-08-14T14:38:09.664Z</dcterms:created>
  <dcterms:modified xsi:type="dcterms:W3CDTF">2026-08-14T14:38:09.669Z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