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Sambhv Steel Tubes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SAMBHV | ERW steel pipes/structural tubes, ~Rs 3,474-3,818 Cr - EXCLUDED on size grounds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3,474-3,818 Cr (lower-midcap, upper end of this project's range)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17.66% / 25.42%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0.80 (moderate)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Record sales volume: 107,771 tons, value-added product sales up to 101,191 tons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Post-IPO Performance</w:t>
            </w:r>
          </w:p>
        </w:tc>
        <w:tc>
          <w:tcPr>
            <w:tcW w:type="dxa" w:w="5800"/>
          </w:tcPr>
          <w:p>
            <w:r>
              <w:t xml:space="preserve">Listed at 34% premium (Jul 2025); now ~45% above issue price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solid fundamentals (ROE 25.4%, ROCE 17.7%, record volumes) for a recently-listed industrial manufacturer. However, at ~Rs 3,500-3,800 Cr, a 10x would require reaching ~Rs 35,000-38,000 Cr within 2-3 years - a large-cap-scale outcome that, while not impossible, is a very high bar and inconsistent with how this project has treated similarly-sized names elsewhere in the dataset.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post-listing performance (+45% vs. issue price), consistent with the record Q1 FY27 volumes.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Presented at the well-regarded IAS2026 summit; no specific bear case was captured in the source sheet beyond the general summit-recap framing.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ROE (25.4%) and ROCE (17.7%) with moderate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recent sales volumes, confirming real operational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post-IPO stock performance (+45% vs issue price)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at the upper end of this project's size range (~Rs 3.5-3.8k Cr) - a 10x would require large-cap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listed (Jul 2025) - limited multi-year public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Commodity/cyclical steel-tube business subject to input-cost swings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Lower-midcap, upper end of range (~Rs 3,474-3,818 Cr) - excluded for consistency with this project's size treatment, despite genuinely solid fundamentals.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on size grounds - solid fundamentals, but at the outer edge of a 10x-in-2-3-years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genuinely strong (ROE, ROCE, volumes)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already limits the realistic magnitude of further re-rating within the specific 10x-in-2-3-years timeframe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Flagged here for completeness given genuinely good numbers, in case the user wants to reconsider the size cutoff for this specific name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2026-08-14T16:46:26.199Z</dcterms:created>
  <dcterms:modified xsi:type="dcterms:W3CDTF">2026-08-14T16:46:26.203Z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