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Sedemac Mechatronics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SEDEMAC | EXCLUDED - already large-cap (~Rs 13,492 Cr) at IPO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13,492 Cr (large-cap, even at/near IPO)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IPO</w:t>
            </w:r>
          </w:p>
        </w:tc>
        <w:tc>
          <w:tcPr>
            <w:tcW w:type="dxa" w:w="5800"/>
          </w:tcPr>
          <w:p>
            <w:r>
              <w:t xml:space="preserve">Priced Rs 1,287-1,352, listed with 11.7-13.5% premium (Mar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Rs 13,000+ Cr company at listing - this was never a microcap opportunity by the time of its IPO. Even the cited bullish global-brokerage target (Rs 3,700, roughly 2.5-2.9x the IPO price) implies a multi-bagger outcome, not a 10x.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source sheet's own framing (weak initial subscription, then sharp post-listing gains) suggests a stock that found demand after an unconvincing debut.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 frames this as a deep-tech/sensor-less ISG technology story with a specific brokerage price target already cited - useful for context, but confirms this is a large-cap-from-day-one situation.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Differentiated deep-tech positioning (sensor-less ISG technology)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Cited brokerage target implies real, if more modest, further upside potential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13,492 Cr) even at IPO - never fit a microcap/midcap 10x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bull case's own cited target (Rs 3,700) implies at most a ~2.5-3x, not a 10x, outcome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13,492 Cr) - excluded on size grounds from day one of its listed history.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 from IPO, and even the bull case's own target implies well under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source sheet's own cited price target (Rs 3,700) is itself evidence this isn't a 10x setup, even under a bullish view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2026-08-14T15:36:03.318Z</dcterms:created>
  <dcterms:modified xsi:type="dcterms:W3CDTF">2026-08-14T15:36:03.322Z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