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Stylam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STYLAMIND | India's largest laminate manufacturer - already Rs 6,008 Cr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6,008 Cr (midcap, +112%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28.3x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26.05% / 18.57% (strong)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CAGR</w:t>
            </w:r>
          </w:p>
        </w:tc>
        <w:tc>
          <w:tcPr>
            <w:tcW w:type="dxa" w:w="5800"/>
          </w:tcPr>
          <w:p>
            <w:r>
              <w:t xml:space="preserve">17.27% (vs 4.4% industry median)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Genuinely strong, market-leading, capital-efficient business, but already a Rs 6,000+ Cr midcap - a 10x from here implies ~Rs 60,000 Cr, a large-cap outcome unlikely within 2-3 years even for a category leader.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in depth given the size-based headroom concern; +112% over the past year implies an already-strong uptrend largely priced in.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 flag already limits candidacy for this specific 10x screen.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 red flag surfaced in available search results.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Category leader with real market-share gains vs industry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ROCE/ROE and above-industry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long-term compounder track record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Rs 6,008 Cr - a 10x is a large-cap-scale outcome, an extreme bar for 2-3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Much of the historical '52X' move is already captured in the price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P/E of 28x plus size together limit further multiple expansion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Midcap (~Rs 6,008 Cr) - too large for a genuine 10x-in-2-3-years thesis despite strong fundamentals.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 compounder, wrong size for this specific screen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Market-cap headroom fails the 10x-in-2-3-years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quality is high but doesn't overcome the size constraint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Better fit for a multi-year compounding thesis than a 10x screen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2026-08-13T18:43:19.700Z</dcterms:created>
  <dcterms:modified xsi:type="dcterms:W3CDTF">2026-08-13T18:43:19.705Z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