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Tips Music Ltd (Tips Industries)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TIPSMUSIC | EXCLUDED - already upper-midcap (~Rs 8,590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8,590 Cr (upper-midcap, +14.3%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(3yr)</w:t>
            </w:r>
          </w:p>
        </w:tc>
        <w:tc>
          <w:tcPr>
            <w:tcW w:type="dxa" w:w="5800"/>
          </w:tcPr>
          <w:p>
            <w:r>
              <w:t xml:space="preserve">83.2% (exceptional)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(5yr CAGR)</w:t>
            </w:r>
          </w:p>
        </w:tc>
        <w:tc>
          <w:tcPr>
            <w:tcW w:type="dxa" w:w="5800"/>
          </w:tcPr>
          <w:p>
            <w:r>
              <w:t xml:space="preserve">36.7%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64.2%, down -10.8% over 3 years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An exceptional business by capital-efficiency metrics (ROE 83.2%, debt-free, strong profit CAGR), but already an upper-midcap at ~Rs 8,590 Cr - a 10x is not realistic within 2-3 years regardless of quality. The declining promoter holding trend (-10.8% over 3 years) is also worth independent monitoring, though not necessarily a red flag on its own for a company this size.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in depth given the size-based exclusion; +14.3% 1yr return suggests steady rather than explosive momentum.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Declining promoter holding trend (-10.8% over 3 years) is disclosed; not independently investigated further given the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ROE (83.2%) and profit growth track record, debt-free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recognizable music-IP catalog with recurring monetization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upper-midcap (Rs 8,590 Cr) - structurally excluded from a 10x-in-2-3-years microcap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Declining promoter holding trend worth monitoring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Upper-midcap (~Rs 8,590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exceptional business, but already too large for this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 despite genuinely excellent capital-efficiency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Better suited to a quality-compounder thesis than a 10x microcap screen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2026-08-14T15:31:16.453Z</dcterms:created>
  <dcterms:modified xsi:type="dcterms:W3CDTF">2026-08-14T15:31:16.458Z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