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Trejhara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TREJHARA | Microcap enterprise software, subsidiary of Aurionpro Solutions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in 2017, Trejhara Solutions is a technology products/solutions provider (application software, bespoke development, infrastructure and database analysis, supply chain management) operating as a subsidiary of listed Aurionpro Solutions Ltd, serving enterprise clients across Asia, Middle East, Africa, North America and Europe.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noted 'recent positive results mention but lower engagement so far' - consistent with what this research found: real fundamental improvement but no dedicated ValuePickr thread yet, suggesting the story is still early in gaining community attention.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(approx.)</w:t>
            </w:r>
          </w:p>
        </w:tc>
        <w:tc>
          <w:tcPr>
            <w:tcW w:type="dxa" w:w="5800"/>
          </w:tcPr>
          <w:p>
            <w:r>
              <w:t xml:space="preserve">Rs 178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428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33.0x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~1.45x (Book Value Rs 123)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4.28% / 3.31%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3yr/5yr/TTM (CAGR)</w:t>
            </w:r>
          </w:p>
        </w:tc>
        <w:tc>
          <w:tcPr>
            <w:tcW w:type="dxa" w:w="5800"/>
          </w:tcPr>
          <w:p>
            <w:r>
              <w:t xml:space="preserve">85% / 21% / 70%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3yr/5yr/TTM (CAGR)</w:t>
            </w:r>
          </w:p>
        </w:tc>
        <w:tc>
          <w:tcPr>
            <w:tcW w:type="dxa" w:w="5800"/>
          </w:tcPr>
          <w:p>
            <w:r>
              <w:t xml:space="preserve">28% / -4% / 273%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Nearly debt-free (Rs 23 Cr borrowings vs Rs 396 Cr total assets)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33.88% (Jun 2026), sharply up from 23.06% earlier in the same fiscal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 (Q1 FY27, Jun 2026)</w:t>
            </w:r>
          </w:p>
        </w:tc>
        <w:tc>
          <w:tcPr>
            <w:tcW w:type="dxa" w:w="5800"/>
          </w:tcPr>
          <w:p>
            <w:r>
              <w:t xml:space="preserve">Sales Rs 67.64 Cr, Net Profit Rs 4.79 Cr, EPS Rs 2.00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Explosive recent growth (85% 3-year and 70% TTM sales CAGR, 273% TTM profit growth) is the headline, but ROE/ROCE remain very low (3-4%), meaning the company isn't yet converting that growth into efficient returns on capital - a real gap between top-line momentum and bottom-line quality. The promoter stake jump from 23.06% to 33.88% within a single fiscal year is a notable, verifiable confidence signal (likely a preferential allotment or open-market buying by parent Aurionpro). Working capital reportedly improved dramatically (800 to 76 days per Screener) - a huge swing that, while positive on its face, is unusual enough to warrant independent verification rather than taking at face value.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Weekly: MACD Level +4.57 (Buy), RSI(14) 80.1 (significantly overbought), CCI 375 (extreme), price above every major moving average (10 through 200-period, only the 200-SMA is Sell) - a strong, fresh, stretched breakout. Monthly: MACD Level -6.09 (Sell), RSI(14) 49.6 (neutral), moving averages mixed (20-30 month Sell, 50-month Buy, 100/200 not yet available given limited listed history) - no clean established monthly trend yet. Read: this reads as a fresh breakout emerging from a longer choppy/rangebound base - the weekly move is real and strong but very extended (RSI 80), while the monthly picture hasn't yet confirmed a durable new trend. Higher risk of a near-term pullback given how stretched the weekly reading is.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 dedicated ValuePickr thread was found for this specific entity in this research pass, consistent with the source sheet's own note of 'lower engagement so far.' As a relatively young (2017-incorporated) subsidiary of a more established listed parent (Aurionpro Solutions), it may simply be earlier in its community-discovery cycle than other names in this batch.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SEBI action or pledging found. The sharp promoter stake increase (23.06% to 33.88% within one fiscal year) is the most notable disclosed event and a genuine positive ownership signal, though the specific mechanism (rights issue, preferential allotment, open-market purchase) was not independently confirmed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strong recent growth (70%+ TTM sales, 273% TTM profit growth) - among the fastest-growing names in this entire batch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Significant, verifiable promoter stake increase within a single fiscal year - a real confidence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Nearly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an established listed parent (Aurionpro Solutions) rather than being a standalone unproven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under-discovered by the ValuePickr community - potential for future re-rating as awareness grows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both in the low single digits (3-4%) - the growth has not yet translated into efficient capital returns, a real quality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of 33x is demanding for a business with this ROE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dramatic working-capital swing (800 to 76 days) is unusually large and merits independent verification rather than being taken at face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Weekly technicals are extremely overbought (RSI 80, CCI 375) - elevated near-term pullback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technical trend is not yet clearly established - this could be an early-stage breakout or a false start within a longer rangebound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profitability, and minimal independent community scrutiny to cross-check the numbers against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428 Cr) - genuine size headroom, high growth rate, but capital-efficiency quality has not yet caught up to the growth story.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High-growth but low-quality-of-earnings so far - promising, early-stage, needs ROE/ROCE to catch up to the growth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momentum: Good on growth, weak on quality - explosive top-line/bottom-line growth undermined by very low ROE/ROCE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runway: Medium-low - P/E of 33x already prices in continued strong growth, leaving less margin for error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Good - genuine microcap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posture: Medium - fresh, strong weekly breakout but extremely overbought, with no confirmed monthly trend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 clarity: Medium - the promoter stake increase is a specific, verifiable positive event, though its exact mechanism wasn't independently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Quality/governance: Medium - backed by an established listed parent, but the working-capital swing needs verification and ROE/ROCE quality lags the growth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Liquidity/float: Reasonable microcap liquidity, still under-discovered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Conviction/sentiment signal: Weak-medium - genuinely early-stage from a community-attention standpoint, which cuts both ways (opportunity vs. lack of independent scrutiny)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2026-08-09T18:18:04.414Z</dcterms:created>
  <dcterms:modified xsi:type="dcterms:W3CDTF">2026-08-09T18:18:04.418Z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