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Unihealth Hospitals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 SME: UNIHEALTH | Africa-focused hospital operator (formerly Unihealth Consultancy), IPO Sep 2023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Unihealth (UMC Hospitals brand) runs an asset-light, integrated healthcare platform: hospital operations &amp; management (~70% of revenue, ~200 beds across Uganda, Nigeria, Tanzania with plans to scale to 1,000 beds), pharma/medical-consumables distribution from India (~10%), a design-build-operate hospital consultancy arm, and medical-tourism patient referrals. The model leases rather than owns infrastructure and leverages India-sourced supply chains for equipment.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flagged 'good engagement on the price-move/profit-booking post' - matches a ValuePickr discussion where strong Q4 FY24 results and bullish FY25/26 guidance were met with a puzzling stock stagnation, prompting speculation about hidden risks vs. simple profit-booking.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774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1,231 Cr (smallcap, SME-platform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48.0x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8.83x (Book Value Rs 87.6)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24.5% / 21.5%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44% / 38% / 33%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49% / 39% / 81%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69.53%, trending up from 68.80%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 (Rev / PAT, Rs Cr)</w:t>
            </w:r>
          </w:p>
        </w:tc>
        <w:tc>
          <w:tcPr>
            <w:tcW w:type="dxa" w:w="5800"/>
          </w:tcPr>
          <w:p>
            <w:r>
              <w:t xml:space="preserve">Mar'26: 65 / 17 | Sep'25: 67 / 29 | Mar'25: 56 / 18 | Sep'24: 43 / 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strong, consistent growth (30-50% range across every horizon) with high ROCE/ROE and a debt-reducing balance sheet (long-term borrowings cut from Rs 36 Cr to Rs 14 Cr). Screener flags three items worth weighing: debtor days of 341 (partly explained on ValuePickr by Uganda government payment cycles running 9-10 months - a structural feature of the business, not necessarily distress, but still a real cash-conversion drag); zero dividend payout despite consistent profitability (reasonable for a growth-stage company reinvesting, but worth tracking); and an unusually low effective tax rate, which is plausible given African operations but merits monitoring for sustainability.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+112.02 (Buy), RSI(14) 78.4 (overbought), price above every available moving average (10 through 100-period; 200-week not yet available given the ~2023 listing) - a clean, strong uptrend. Monthly: MACD Level +138.42 (Buy), RSI(14) 86.5 - extremely overbought, one of the most stretched readings likely to be seen on this screen - all available moving averages bullish. Read: both timeframes confirm an intact, powerful uptrend since the 2023 SME listing, but the monthly RSI in the mid-80s signals the stock is very likely trading at or beyond its upper volatility band on that timeframe (proxy interpretation; exact Bollinger Band values not captured via this automated source) - this is about as extended as a stock gets on a monthly view, implying meaningfully elevated pullback/mean-reversion risk even within a genuine uptrend.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dedicated ValuePickr thread ('Unihealth Medical Consultancy - The Caplin of Hospitals?') is active and detailed (Feb 2024 - Nov 2025+), comparing the company's early-stage, underpenetrated-market model to Caplin Point's earlier trajectory. Bull case centers on Africa's severe hospital-bed shortage (WHO recommends 3 beds/1,000 people; Uganda has ~0.5), young hands-on promoters, high margins, and a debt-free-post-IPO balance sheet. Specific bear/skeptic points raised by the community: one promoter (Dr. Anurag Shah) is based in Uganda making on-ground verification hard for Indian investors (a 'Varanium Cloud'-style hidden-risk comparison was explicitly raised); Uganda alone is ~60% of revenue (concentration risk, though management targets &lt;25-30% per geography by FY26); a DRHP-disclosed clinical-negligence civil case (2021, patient death) carries reputational if not financial risk (covered by professional indemnity insurance); Nigeria's currency depreciation (~40% in FY24) distorts headline consolidated growth; and IPO-time valuation (~15x EV/EBIT) was viewed by some as rich versus a preferred 10-12x. The 'price stagnation despite strong results' pattern flagged in the source sheet reflects genuine, unresolved community debate rather than a settled bull or bear consensus.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Listed via SME IPO (Sep 2023, raised Rs 56.54 Cr). A July 2026 exchange filing discloses a share-swap agreement related to Victoria Hospital Ltd (VHL), in which Unihealth now holds ~49.81% on a fully diluted basis - an active consolidation/expansion move. No pledging or SEBI action found. Being an SME-platform listing, liquidity/float is structurally thinner than a mainboard stock.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underpenetrated addressable market (African hospital-bed shortage) with a credible, capital-light expansion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Consistently strong growth across every horizon (30-50%+ CAGR ranges) with high ROCE (24.5%) and improving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increasing stake (69.5%, up from 68.8%) and actively consolidating via the Victoria Hospital share-swap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Active, well-informed ValuePickr community coverage comparing it to an early-stage Caplin Point-style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Weekly and Monthly technicals confirm a strong, unbroken uptrend since listing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SME-platform listing means structurally lower liquidity/float than a mainboard stock - harder to build or exit a real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341 debtor days is a genuine working-capital drag, even if partly structural (African government payment cycles)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Single-country concentration (Uganda ~60% of revenue) and hard-to-verify African operations were both explicitly flagged by the ValuePickr community itself, not just as a general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disclosed clinical-negligence case and Nigeria's Level-3 geopolitical rating create headline/reputational risk even if financially hedged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rich (P/E 48x, P/B 8.8x) and the monthly RSI (~86) is extremely overbought - a lot of good news may already be priced in near-term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dividend and an unusually low effective tax rate are both worth monitoring for durability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/ SME-platform (~Rs 1,231 Cr) - within the addressable size range, but SME-listing liquidity is a real constraint on position sizing.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interesting growth story with real community-vetted risks - promising but not a clean, low-risk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Good - broad-based, consistent growth with strong returns on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Medium-low - already priced richly (P/E 48x, P/B 8.8x) for a company with real geographic and receivables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in theory (Rs 1,231 Cr), but SME-platform liquidity limits how real that headroom is in practice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Medium - powerful uptrend on both timeframes, but monthly RSI ~86 is about as extended as this screen will show, raising near-term pullback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Good - specific, named expansion moves (Victoria Hospital consolidation, bed-count targets, geography diversification plan)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Medium - no hard red flags, but the community's own 'hard to verify Africa operations' concern and high debtor days are legitimate, not dismissible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Caution - SME-platform listing, thinner liquidity than a mainboard smallcap of similar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Good - detailed, multi-year, bidirectional (bull and bear) ValuePickr coverage rather than one-sided hype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2026-08-09T17:53:59.962Z</dcterms:created>
  <dcterms:modified xsi:type="dcterms:W3CDTF">2026-08-09T17:54:00.010Z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