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Vaxfab Enterprises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BSE: 542803 | Agri-products trading, diversifying into textiles, ~Rs 153-159 Cr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/>
    </w:p>
    <w:p>
      <w:pPr>
        <w:pStyle w:val="Heading1"/>
        <w:spacing w:after="120" w:before="280"/>
      </w:pPr>
      <w:r>
        <w:t xml:space="preserve">Source / Conviction Notes (from original sheet)</w:t>
      </w:r>
    </w:p>
    <w:p>
      <w:pPr>
        <w:spacing w:after="120"/>
      </w:pPr>
      <w:r/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Rs 153-159 Cr (microcap, +241% in 1 year)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FY26 Result</w:t>
            </w:r>
          </w:p>
        </w:tc>
        <w:tc>
          <w:tcPr>
            <w:tcW w:type="dxa" w:w="5800"/>
          </w:tcPr>
          <w:p>
            <w:r>
              <w:t xml:space="preserve">Revenue Rs 131 Cr, LOSS Rs 4.63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Price/Book</w:t>
            </w:r>
          </w:p>
        </w:tc>
        <w:tc>
          <w:tcPr>
            <w:tcW w:type="dxa" w:w="5800"/>
          </w:tcPr>
          <w:p>
            <w:r>
              <w:t xml:space="preserve">2.70x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Quality flags</w:t>
            </w:r>
          </w:p>
        </w:tc>
        <w:tc>
          <w:tcPr>
            <w:tcW w:type="dxa" w:w="5800"/>
          </w:tcPr>
          <w:p>
            <w:r>
              <w:t xml:space="preserve">Low interest coverage, high debtor days (302)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A trading business (thin-margin by nature) that is currently loss-making with a very high debtor-days figure (302) - a genuine working-capital/collections concern. The +241% 1-year price move has run well ahead of the underlying financial performance.</w:t>
      </w:r>
    </w:p>
    <w:p>
      <w:pPr>
        <w:pStyle w:val="Heading1"/>
        <w:spacing w:after="120" w:before="280"/>
      </w:pPr>
      <w:r>
        <w:t xml:space="preserve">Technical Read (Weekly / Monthly)</w:t>
      </w:r>
    </w:p>
    <w:p>
      <w:pPr>
        <w:spacing w:after="120"/>
      </w:pPr>
      <w:r>
        <w:t xml:space="preserve">Not independently verified this pass; the large 1-year price gain is a momentum signal only, not confirmed against fundamentals.</w:t>
      </w:r>
    </w:p>
    <w:p>
      <w:pPr>
        <w:pStyle w:val="Heading1"/>
        <w:spacing w:after="120" w:before="280"/>
      </w:pPr>
      <w:r>
        <w:t xml:space="preserve">ValuePickr + X Sentiment</w:t>
      </w:r>
    </w:p>
    <w:p>
      <w:pPr>
        <w:spacing w:after="120"/>
      </w:pPr>
      <w:r>
        <w:t xml:space="preserve">No ValuePickr thread or notable sentiment signal surfaced in available search results this pass.</w:t>
      </w:r>
    </w:p>
    <w:p>
      <w:pPr>
        <w:pStyle w:val="Heading1"/>
        <w:spacing w:after="120" w:before="280"/>
      </w:pPr>
      <w:r>
        <w:t xml:space="preserve">BSE Corporate Actions / Red Flags</w:t>
      </w:r>
    </w:p>
    <w:p>
      <w:pPr>
        <w:spacing w:after="120"/>
      </w:pPr>
      <w:r>
        <w:t xml:space="preserve">FY26 results and compliance report filed with no non-compliances noted - procedurally clean, but the underlying numbers are weak.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Genuine microcap with large recent price momentum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Diversification into textiles could open a new growth avenue if executed well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Currently loss-making (Rs -4.63 Cr FY26)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Very high debtor days (302) - a real collections/working-capital red flag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Trading businesses typically carry structurally thin, low-quality margins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Price move (+241%) is not supported by the underlying financial results</w:t>
      </w:r>
    </w:p>
    <w:p>
      <w:pPr>
        <w:pStyle w:val="Heading1"/>
        <w:spacing w:after="120" w:before="280"/>
      </w:pPr>
      <w:r>
        <w:t xml:space="preserve">Market-Cap Tier</w:t>
      </w:r>
    </w:p>
    <w:p>
      <w:pPr>
        <w:spacing w:after="120"/>
      </w:pPr>
      <w:r>
        <w:rPr>
          <w:b/>
          <w:bCs/>
        </w:rPr>
        <w:t xml:space="preserve">Microcap (~Rs 153-159 Cr) - size headroom exists but fundamentals do not currently support conviction.</w:t>
      </w:r>
    </w:p>
    <w:p>
      <w:pPr>
        <w:pStyle w:val="Heading1"/>
        <w:spacing w:after="120" w:before="280"/>
      </w:pPr>
      <w:r>
        <w:t xml:space="preserve">10x-in-2-3-Years Plausibility 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Loss-making trading business with a price run well ahead of fundamentals - avoid for now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Current financial performance (loss, high debtor days) does not support the price momentum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Trading-business economics are inherently low-quality without a differentiated model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specific catalyst or community validation found to change this assessment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2026-08-14T15:13:36.256Z</dcterms:created>
  <dcterms:modified xsi:type="dcterms:W3CDTF">2026-08-14T15:13:36.262Z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