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Vistar Amar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NSE/BSE: VISTARAMAR | Fishmeal/fish processing, Porbandar, ~Rs 124 Cr - listed status CONFIRMED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124 Cr (microcap)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10.0x (cheap)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25.5% / 12.2-18.9% (strong ROCE, decent ROE)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Sales/Profit CAGR</w:t>
            </w:r>
          </w:p>
        </w:tc>
        <w:tc>
          <w:tcPr>
            <w:tcW w:type="dxa" w:w="5800"/>
          </w:tcPr>
          <w:p>
            <w:r>
              <w:t xml:space="preserve">35% / 33%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Essentially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65.65%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Flags</w:t>
            </w:r>
          </w:p>
        </w:tc>
        <w:tc>
          <w:tcPr>
            <w:tcW w:type="dxa" w:w="5800"/>
          </w:tcPr>
          <w:p>
            <w:r>
              <w:t xml:space="preserve">Debtor days rising (61.5 to 88.9 days); volatile quarterly margins (-25% to +12.74%); declining profitability in the most recent quarter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cheap (P/E 10x), debt-free microcap with a real 5-year growth track record and strong ROCE. But the niche (fishmeal processing) carries inherent commodity/input volatility, visible in the swinging quarterly margins (from -25% to +12.7%) and rising debtor days - a real collections/working-capital concern to watch alongside the cheap valuation.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the 52-week range (Rs 91.15-219.60) itself shows significant volatility.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Listed by the curator as a personal holding, but with less emphasis/detail than Fredun Pharma or Technvision - a lower-conviction position within his portfolio.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beyond the working-capital/margin-volatility items noted above.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valuation (P/E 10x) for a business with real 5-year growth (35% sales CAGR)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ROCE (25.5%), debt-free, high promoter holding (65.65%)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fishmeal/fish-processing positioning with real historical execution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Highly volatile quarterly margins (-25% to +12.7%) reflect real commodity/input-cost exposure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rising (61.5 to 88.9) - a genuine, disclosed working-capital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recent quarter showed declining profitability - worth confirming this isn't the start of a deeper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Lower curator conviction/detail than his top picks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124 Cr) - genuine headroom, cheap valuation, but real margin-volatility risk.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debt-free microcap with real volatility risk - moderate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and balance-sheet quality (debt-free, high ROCE) are genuinely attractive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volatility and rising debtor days are real, disclosed risks inherent to the commodity-adjacent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Lower curator emphasis than his top holdings suggests this is a secondary rather than highest-conviction idea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2026-08-14T16:01:30.425Z</dcterms:created>
  <dcterms:modified xsi:type="dcterms:W3CDTF">2026-08-14T16:01:30.428Z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