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ABS Marine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Offshore support vessel (OSV) lessor riding a tight oil &amp; gas charter market, but a debt-funded fleet-growth strategy in a historically brutal cyclical niche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CBI case alleging irregularities in outsourcing of manning work of foreshore-sector vessels, plus a trusted user's explicit warning that debt-funded vessel acquisition mirrors the strategy that led to Garware Offshore's collapse in the same cyclical niche.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ABS Marine provides diversified shipping services -- manning &amp; technical services and chartering/hiring of offshore support vessels -- mainly to oil and gas production companies. The OSV market is currently described by the community as supply-constrained with rising charter rates.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21.0% / 29.6%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6.77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profit CAGR</w:t>
            </w:r>
          </w:p>
        </w:tc>
        <w:tc>
          <w:tcPr>
            <w:tcW w:type="dxa" w:w="5800"/>
          </w:tcPr>
          <w:p>
            <w:r>
              <w:t xml:space="preserve">124%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143 - 316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Cheap on trailing multiples (P/E ~6.8) with strong recent profit growth and working-capital days falling from 50.2 to 36.8. No dividend despite consistent profits. Small-cap with limited disclosure history (recently listed / thinly covered).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dedicated thread (8 posts, single batch, Jun-Jul 2026, no escalation needed). Thread opened Jun 2026 with a well-received (23 loves) numbers writeup on the OSV re-rating story. Sentiment: cautiously bullish on demand/charter-rate tailwinds (industry-insider chat reported in post #7, 9 loves, expects rates rising for 2yrs on a supply shortage), offset by two real risk flags -- a corporate-governance red flag (CBI case re: alleged irregularities in outsourcing of manning work of foreshore-sector vessels) and a trusted user's caution that debt-funded vessel acquisition is a historically bad strategy in this cyclical business, citing Garware Offshore's collapse as precedent. Credit rating was upgraded in Jun 2026 (positive).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RocketMan (trusted, elevated tier) drew a direct parallel to Garware Offshore's failure: 'debt funded vessel acquisition is a bad growth strategy in a business which is so cyclical... Contracts do get terminated.' This is a risk flag, not a bullish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2026-06-20 — RocketMan</w:t>
      </w:r>
      <w:r>
        <w:rPr>
          <w:i/>
          <w:iCs/>
          <w:color w:val="666666"/>
          <w:sz w:val="18"/>
          <w:szCs w:val="18"/>
        </w:rPr>
        <w:t xml:space="preserve"> (ABS Marine Services Ltd - Tight market, Bright market)</w:t>
      </w:r>
      <w:r>
        <w:rPr>
          <w:sz w:val="20"/>
          <w:szCs w:val="20"/>
        </w:rPr>
        <w:br/>
        <w:t xml:space="preserve">: Flagged cyclicality/debt risk by comparing to Garware Offshore's collapse from debt-funded vessel acquisition -- a caution, not a buy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Community noted a CRISIL credit-rating upgrade (Jun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multiples (P/E ~6.8) against 124% 5yr profit CAGR and strong ROCE/ROE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OSV market described as supply-constrained; industry-insider feedback (9 loves) expects charter rates rising for at least 2 more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rating upgrade in Jun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Improving working-capital efficiency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CBI case alleging irregularities/malpractice in outsourcing of manning work of foreshore-sector vessels -- an unresolved governance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user explicitly warns debt-funded fleet expansion mirrors the strategy that sank Garware Offshore in the same cyclical OSV space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consistent profitability; thin community coverage (8 posts) limits verification depth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Highly cyclical, contract-based revenue -- charter contracts can and do get terminated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541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fast-growing OSV play with a real tailwind, but governance and debt-cyclicality flags cap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trailing growth and valuation support the thesis, and a trusted user's industry-insider check corroborates the charter-rate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same trusted user explicitly flags the debt-funded-growth-in-a-cyclical-business pattern that has sunk a direct peer (Garware Offshore), and there is a separate, unresolved CBI governance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is thin (8 posts) -- not enough independent verification yet to go beyond Medium conviction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2026-08-23T15:14:47.677Z</dcterms:created>
  <dcterms:modified xsi:type="dcterms:W3CDTF">2026-08-23T15:14:47.682Z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