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Aarti Surfactants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Demerged specialty-surfactants maker with a real recent-quarter profit inflection off a weak base - a low-conviction, unconfirmed 10x-optionality watch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Aarti Surfactants was formed by the demerger of the Home &amp; Personal Care division of Aarti Industries. It makes ionic and non-ionic surfactants and specialty/formulated blends for shampoos, soaps, handwash, detergents and cleaners, plus industrial, agro and oil-industry applications, from plants at Pithampur (MP) and Silvassa.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468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~8.5% / ~5.2% (still weak)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~25x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quarter</w:t>
            </w:r>
          </w:p>
        </w:tc>
        <w:tc>
          <w:tcPr>
            <w:tcW w:type="dxa" w:w="5800"/>
          </w:tcPr>
          <w:p>
            <w:r>
              <w:t xml:space="preserve">Q2 FY26: sales +6.5% YoY, net profit +114.8%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improved from ~32 to ~21.5 days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316 - 680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Trailing metrics are weak - ROE ~5%, ROCE ~8.5%, a negative multi-year profit trend - but the recent quarter shows a sharp, specific improvement: Q2 FY26 net profit up ~115% YoY on modest ~6.5% sales growth, with working-capital days cut by a third. This is a margin-normalisation / operating-leverage story off a low base, consistent with a demerged commodity-to-specialty transition, not yet a proven compounding trend.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stock well off its 52-week high of Rs 680.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The dedicated ValuePickr thread (topic 132910) is effectively dead - three substantive intro posts from Jan 2024 and then a moderator note about forum guidelines; no ongoing discussion, no thesis debate, no conviction calls. This assessment therefore rests on the fundamentals and the recent-quarter inflection.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users; no high-conviction call anywhere in the thread. The legacy 108-stock screen's claim of 'hundreds of likes' of community conviction remains unverified.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checked; nothing adverse surfaced.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FY26 PAT up ~115% YoY - a real, specific recent-quarter inflection off a depressed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capital cut from ~32 to ~21.5 days - genuine operating discipline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(~Rs 468 Cr) demerged specialty-chemicals platform with room to re-rate if margin normalisation sustains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Aarti-group lineage and an established Home &amp; Personal Care customer base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still only ~5% and ROCE ~8.5% - the business has not cleared the cost-of-capital hurdle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Recent profit growth is margin/cost-driven off a low base, not demand-led - durability unproven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~25x earnings on a still-recovering earnings base is not cheap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community coverage or independent thesis stress-testing; commodity input-cost swings can reverse the margin gain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468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Early, unconfirmed turnaround - a low-conviction 10x-optionality watch, not a conviction buy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Legacy-108-screen seed (old bucket Tier B, 'early-stage turnaround, needs 2-3 more clean quarters', frozen 2026-08-15) - under the open-screen thesis the recent-quarter inflection plus small-cap size warrant a '10x-in-2-3-years' tag at LOW conviction with an explicit 'unconfirmed' caveat, per the rule on not letting a weak trailing average hide a real recent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old Tier B 'wait for more clean quarters' framing broadly still holds; one more strong quarter has printed but ROE is still weak and the VP thread is dead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tier; conviction stays LOW until margin normalisation is visible for another 2-3 quarters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2026-08-27T17:58:06.702Z</dcterms:created>
  <dcterms:modified xsi:type="dcterms:W3CDTF">2026-08-27T17:58:06.703Z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