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Abbott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High-quality, debt-free MNC pharma name with excellent returns but slow growth and large-cap size -- no fit for an outsized outcome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Abbott India is the Indian pharmaceutical arm of Abbott Laboratories, focused on branded formulations in nutrition, gastroenterology, and other therapeutic areas, benefiting from rising consumer healthcare spending.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55,739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34.7% / 46.7% -- excellent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Poor: 9.96% CAGR over past 5 years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EPS</w:t>
            </w:r>
          </w:p>
        </w:tc>
        <w:tc>
          <w:tcPr>
            <w:tcW w:type="dxa" w:w="5800"/>
          </w:tcPr>
          <w:p>
            <w:r>
              <w:t xml:space="preserve">Rs 730.4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Best-in-class capital efficiency (ROE 34.7%, ROCE 46.7%, near debt-free) but revenue growth has been genuinely slow (under 10% CAGR over 5 years) -- there is no evidence of either a strong trailing growth rate or a recent-quarter inflection that would justify treating this as a 10x candidate.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deep-dived this pass -- filtered on size/growth before forum research.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flagged as trusted-thread source; picked up via the 'high' trusted-strength discovery queue in the priority list, but no specific trusted mention content reviewed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capital efficiency and a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tailwind from rising Indian consumer healthcare spending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has been slow and steady (under 10% CAGR over 5 years) with no evidence of a recent acceleration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(Rs 55,739 Cr) is large-cap, requiring a much sharper catalyst than currently visible to justify a 10x-in-2-3-year outcome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55,739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quality, but slow growth and large size put this well outside the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metrics are outstanding but growth has been consistently modest across the trailing window, with no recent-quarter signal suggesting a change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 alone would require an extraordinary catalyst to support 10x-in-2-3-years; none is apparent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Filtered out without a forum deep-dive given the combination of size and slow growth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2026-08-23T08:08:02.220Z</dcterms:created>
  <dcterms:modified xsi:type="dcterms:W3CDTF">2026-08-23T08:08:02.221Z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