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Advanced Enzyme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High-margin enzyme maker that has compounded earnings at ~0% for five years, now with an efficacy cloud over its single biggest product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Advanced Enzyme is one of India's few integrated enzyme companies — ~400+ proprietary enzyme products across human nutrition (largest, incl. serratiopeptidase and other pharma enzymes), animal nutrition, bio-processing (food, textile, paper) and biocatalysis for API manufacture. Subsidiaries include JC Biotech, SciTech and eVoxx (EU). Nalanda (Pulak Prasad) is a long-standing shareholder.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3,328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(FY26)</w:t>
            </w:r>
          </w:p>
        </w:tc>
        <w:tc>
          <w:tcPr>
            <w:tcW w:type="dxa" w:w="5800"/>
          </w:tcPr>
          <w:p>
            <w:r>
              <w:t xml:space="preserve">~Rs 750 Cr / ~Rs 172 Cr (~23% net margin)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~12.2% / ~10% (3-yr)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CAGR</w:t>
            </w:r>
          </w:p>
        </w:tc>
        <w:tc>
          <w:tcPr>
            <w:tcW w:type="dxa" w:w="5800"/>
          </w:tcPr>
          <w:p>
            <w:r>
              <w:t xml:space="preserve">sales ~7%, PAT ~0%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</w:t>
            </w:r>
          </w:p>
        </w:tc>
        <w:tc>
          <w:tcPr>
            <w:tcW w:type="dxa" w:w="5800"/>
          </w:tcPr>
          <w:p>
            <w:r>
              <w:t xml:space="preserve">revenue +17%, PAT +30% — best growth in years, all four segments up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cash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Structurally high-margin (~30-40s% EBITDA historically, ~23% net margin) and net cash, but the compounding has been absent: ~7% sales CAGR and ~0% PAT CAGR over five years, with operating margins already down from the 40s to the 30s. FY26 was the best year in a while (revenue +17%, PAT +30%, all segments growing). Overhangs: (1) the Japanese innovator (Takeda) voluntarily withdrew serratiopeptidase after post-market studies failed to beat placebo — and serratiopeptidase is one of Advanced Enzyme's largest revenue/profit contributors; (2) an estranged promoter's firm now competes on serratiopeptidase; (3) management will stop giving segment-wise breakups; (4) years of R&amp;D and acquisitions with little to show. The pending EU novel-food dossier for serratiopeptidase (would make Advanced Enzyme the sole EU supplier for a while) is the main positive catalyst.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Industrial &amp; nutritional enzymes (human nutrition, animal nutrition, bio-processing, biocatalysis)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Integrated specialty producer with proprietary strains and formulations — niche moat, but narrow product concentration (serratiopeptidase / a few pharma enzymes)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Proprietary strain development + regulatory registrations (EU novel food, pharmacopoeia listings)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Novozymes / Novonesis (global), DSM-Firmenich, Aumgene / Maps Enzymes (India, smaller)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Enzyme production has a genuine know-how moat, but Advanced Enzyme's growth problem is demand/competitive, not capacity — and its biggest product now has an efficacy question mark.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deep read — last ~12 of 212 posts, Mar 2026 to Aug 2026. Thread is thoughtful and mostly skeptical: parth_dalal and harshc frame it as a business that hasn't shown pricing power or operating leverage to justify the multiple ('too hard pile'); Ketan_Chheda is the resident bull, citing optionality (EU approvals, biocatalysis for API, acquisition capability, spare capacity for operating leverage) and a better FY26. In Aug-2026, Avin and Vivek_Shetty dug into the serratiopeptidase efficacy withdrawal by the Japanese innovator — a real concern for the core product's addressable market. Recent small promoter buying was noted as a mild positive.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users. Non-roster: Ketan_Chheda (loves 5-7, bull), harshc/parth_dalal (skeptics), Vivek_Shetty (love 7, the substantive serratiopeptidase-efficacy explanation). Balanced, leaning cautious.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Rare integrated enzyme platform, ~23% net margin, net cash, spare capacity for operating leverage when volumes rise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was the best growth in years (revenue +17%, PAT +30%) across all four segments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EU novel-food dossier for serratiopeptidase pending — sole-supplier window in the EU if approved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in biocatalysis for API manufacture and bolt-on acquisitions; small promoter buying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~7% sales / ~0% PAT CAGR over five years — no demonstrated compounding, and margins have already slipped from the 40s to the 30s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Serratiopeptidase (a top revenue/profit contributor) faces an efficacy cloud after the Japanese innovator withdrew it for failing to beat placebo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Estranged promoter's firm now competes on the same key enzyme; management is reducing disclosure (no more segment breakups)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B2B nutraceuticals business (highly competitive) has been stagnant for years; R&amp;D/acquisitions have not delivered growth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3,328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Good margins, no growth for five years, and an efficacy cloud over the flagship product — 'neither', low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good year (FY26) does not overturn a five-year record of ~0% PAT CAGR; the recent-inflection lens needs a credible, sustained turn, and the serratiopeptidase efficacy withdrawal by the originator is a fresh structural risk to the core product's market.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'neither'; conviction Low. The EU novel-food dossier outcome and whether FY27 sustains double-digit PAT growth are the swing factors — but disclosure is being reduced, which cuts the other way.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2026-08-30T17:31:11.479Z</dcterms:created>
  <dcterms:modified xsi:type="dcterms:W3CDTF">2026-08-30T17:31:11.480Z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