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Affordable Robotic &amp; Automation (ARAL)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Robotics/automation micro-cap where a multi-year holder just exited citing repeated missed targets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ARAL is a niche player in robotics, automation, and industrial engineering equipment — a small business positioned on a long-term automation theme, but currently showing active fundamental deterioration.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214-235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-10.92% (negative)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-2.63% (negative)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trend</w:t>
            </w:r>
          </w:p>
        </w:tc>
        <w:tc>
          <w:tcPr>
            <w:tcW w:type="dxa" w:w="5800"/>
          </w:tcPr>
          <w:p>
            <w:r>
              <w:t xml:space="preserve">Sept-2025 quarter down 35.86% YoY (Rs 28.04 Cr vs Rs 43.72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0.55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performance</w:t>
            </w:r>
          </w:p>
        </w:tc>
        <w:tc>
          <w:tcPr>
            <w:tcW w:type="dxa" w:w="5800"/>
          </w:tcPr>
          <w:p>
            <w:r>
              <w:t xml:space="preserve">-64.01% over 12 months, -32.60% over 6 months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Both ROE and ROCE are negative, revenue fell over a third year-on-year in the most recently reported quarter, and the stock is down 64% over the past year. This is active, not cosmetic, deterioration — the quality gate (real revenue/profit growth, ROCE/ROE strength) fails outright on current numbers.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Sustained downtrend: -32.6% over 6 months and -64.0% over 12 months, with no reversal signal in the data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Moderately active ValuePickr thread (topic 20946, 94 posts, most recent post 2026-08-17).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subhadeep_kundu (post dated 2026-08-17, invested since 2022) posted that management has repeatedly deferred/missed targets, that a subsidiary (ARAPL/RAAS) did not materialize as expected after a fund raise, and that despite the emerging-sector appeal there is 'too much red flag' — and exited the position this quarter. A specific, reasoned exit call from a multi-year holder, not a drive-by comment.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Sits on a long-term robotics/automation theme with real structural tailwinds if execution improves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Micro-cap base (~Rs 220 Cr) means a genuine turnaround could re-rate sharply from depressed levels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listed and trading with no confirmed going-concern or negative-net-worth finding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ROE and ROCE alongside a &gt;35% YoY revenue decline in the latest reported quarter — real fundamental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down 64% over 12 months with no reversal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multi-year ValuePickr holder just exited (Aug 2026) citing repeated missed management targets and an unresolved subsidiary/fund-raise issue — a specific, not generic, community red flag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214-235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Fails the quality gate — negative returns, declining revenue, and a long-time holder just exited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ROE/ROCE and a sharp YoY revenue decline mean this is not real, current growth by any definition used in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community signal reinforces the numbers rather than contradicting them — a specific, reasoned exit from someone invested since 2022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red-flag tier applies (no confirmed negative net worth, promoter-holding collapse, or SEBI action), but the fundamentals alone are enough to exclude this from further consideration for now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2026-08-22T02:47:27.909Z</dcterms:created>
  <dcterms:modified xsi:type="dcterms:W3CDTF">2026-08-22T02:47:27.911Z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