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All E Technologies Ltd</w:t>
      </w:r>
    </w:p>
    <w:p>
      <w:pPr>
        <w:pBdr>
          <w:bottom w:val="single" w:color="CCCCCC" w:sz="6" w:space="8"/>
        </w:pBdr>
        <w:spacing w:after="200"/>
      </w:pPr>
      <w:r>
        <w:rPr>
          <w:i/>
          <w:iCs/>
          <w:color w:val="666666"/>
          <w:sz w:val="22"/>
          <w:szCs w:val="22"/>
        </w:rPr>
        <w:t xml:space="preserve">Cash-rich, debt-free Microsoft Dynamics implementer whose growth has stalled and whose management is under community fire for sitting on the cash pile</w:t>
      </w:r>
    </w:p>
    <w:p>
      <w:pPr>
        <w:pStyle w:val="Heading1"/>
        <w:spacing w:after="120" w:before="280"/>
      </w:pPr>
      <w:r>
        <w:t xml:space="preserve">Business Overview</w:t>
      </w:r>
    </w:p>
    <w:p>
      <w:pPr>
        <w:spacing w:after="120"/>
      </w:pPr>
      <w:r>
        <w:t xml:space="preserve">All E Technologies (Alletec) is a small SME-listed IT services company providing Microsoft Dynamics 365 ERP/CRM implementation, Power Platform, and Azure cloud services, plus proprietary IP products, with growing Middle East (UAE) presence.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271-400 Cr</w:t>
            </w:r>
          </w:p>
        </w:tc>
      </w:tr>
      <w:tr>
        <w:tc>
          <w:tcPr>
            <w:tcW w:type="dxa" w:w="3200"/>
            <w:shd w:fill="F2F2F2" w:val="clear"/>
          </w:tcPr>
          <w:p>
            <w:r>
              <w:rPr>
                <w:b/>
                <w:bCs/>
              </w:rPr>
              <w:t xml:space="preserve">ROE</w:t>
            </w:r>
          </w:p>
        </w:tc>
        <w:tc>
          <w:tcPr>
            <w:tcW w:type="dxa" w:w="5800"/>
          </w:tcPr>
          <w:p>
            <w:r>
              <w:t xml:space="preserve">~19.3-20%</w:t>
            </w:r>
          </w:p>
        </w:tc>
      </w:tr>
      <w:tr>
        <w:tc>
          <w:tcPr>
            <w:tcW w:type="dxa" w:w="3200"/>
            <w:shd w:fill="F2F2F2" w:val="clear"/>
          </w:tcPr>
          <w:p>
            <w:r>
              <w:rPr>
                <w:b/>
                <w:bCs/>
              </w:rPr>
              <w:t xml:space="preserve">Net margin</w:t>
            </w:r>
          </w:p>
        </w:tc>
        <w:tc>
          <w:tcPr>
            <w:tcW w:type="dxa" w:w="5800"/>
          </w:tcPr>
          <w:p>
            <w:r>
              <w:t xml:space="preserve">~21.7%</w:t>
            </w:r>
          </w:p>
        </w:tc>
      </w:tr>
      <w:tr>
        <w:tc>
          <w:tcPr>
            <w:tcW w:type="dxa" w:w="3200"/>
            <w:shd w:fill="F2F2F2" w:val="clear"/>
          </w:tcPr>
          <w:p>
            <w:r>
              <w:rPr>
                <w:b/>
                <w:bCs/>
              </w:rPr>
              <w:t xml:space="preserve">Revenue growth</w:t>
            </w:r>
          </w:p>
        </w:tc>
        <w:tc>
          <w:tcPr>
            <w:tcW w:type="dxa" w:w="5800"/>
          </w:tcPr>
          <w:p>
            <w:r>
              <w:t xml:space="preserve">21% YoY reported, but 5yr CAGR only ~20% and recent quarters flat</w:t>
            </w:r>
          </w:p>
        </w:tc>
      </w:tr>
      <w:tr>
        <w:tc>
          <w:tcPr>
            <w:tcW w:type="dxa" w:w="3200"/>
            <w:shd w:fill="F2F2F2" w:val="clear"/>
          </w:tcPr>
          <w:p>
            <w:r>
              <w:rPr>
                <w:b/>
                <w:bCs/>
              </w:rPr>
              <w:t xml:space="preserve">Debt</w:t>
            </w:r>
          </w:p>
        </w:tc>
        <w:tc>
          <w:tcPr>
            <w:tcW w:type="dxa" w:w="5800"/>
          </w:tcPr>
          <w:p>
            <w:r>
              <w:t xml:space="preserve">Debt-free; cash reserves ~Rs 135-163 Cr vs. market cap</w:t>
            </w:r>
          </w:p>
        </w:tc>
      </w:tr>
      <w:tr>
        <w:tc>
          <w:tcPr>
            <w:tcW w:type="dxa" w:w="3200"/>
            <w:shd w:fill="F2F2F2" w:val="clear"/>
          </w:tcPr>
          <w:p>
            <w:r>
              <w:rPr>
                <w:b/>
                <w:bCs/>
              </w:rPr>
              <w:t xml:space="preserve">52-week range</w:t>
            </w:r>
          </w:p>
        </w:tc>
        <w:tc>
          <w:tcPr>
            <w:tcW w:type="dxa" w:w="5800"/>
          </w:tcPr>
          <w:p>
            <w:r>
              <w:t xml:space="preserve">Rs 115.80 - 315</w:t>
            </w:r>
          </w:p>
        </w:tc>
      </w:tr>
    </w:tbl>
    <w:p>
      <w:pPr>
        <w:spacing w:after="100"/>
      </w:pPr>
    </w:p>
    <w:p>
      <w:pPr>
        <w:spacing w:after="120"/>
      </w:pPr>
      <w:r>
        <w:t xml:space="preserve">Genuinely high-quality balance sheet (debt-free, cash reserves close to half of market cap, ~20% ROE, ~22% net margins) but growth has stalled — quarterly revenue has been roughly flat around Rs 36 Cr for several quarters, well below the historical ~20% growth rate, with management repeatedly citing 'revenue lag' behind Microsoft's own growth without a fully convincing explanation per the community.</w:t>
      </w:r>
    </w:p>
    <w:p>
      <w:pPr>
        <w:pStyle w:val="Heading1"/>
        <w:spacing w:after="120" w:before="280"/>
      </w:pPr>
      <w:r>
        <w:t xml:space="preserve">Technical Read (Weekly / Monthly MACD + Bollinger Bands, or RSI/CCI/Williams %R proxy)</w:t>
      </w:r>
    </w:p>
    <w:p>
      <w:pPr>
        <w:spacing w:after="120"/>
      </w:pPr>
      <w:r>
        <w:t xml:space="preserve">Stock down ~75% from its all-time high on thin SME-board liquidity (~36,000 shares/day average); not independently charted further this pass.</w:t>
      </w:r>
    </w:p>
    <w:p>
      <w:pPr>
        <w:pStyle w:val="Heading1"/>
        <w:spacing w:after="120" w:before="280"/>
      </w:pPr>
      <w:r>
        <w:t xml:space="preserve">ValuePickr Community Signal</w:t>
      </w:r>
    </w:p>
    <w:p>
      <w:pPr>
        <w:spacing w:after="120"/>
      </w:pPr>
      <w:r>
        <w:t xml:space="preserve">Read the most recent 50 of 96 fetched posts (2024-12 to 2026-08), single batch. Sentiment was strongly constructive through mid-2025 (a trusted user, BuyRightSitTight, was highly engaged and positive on management transparency and concall quality), but turned skeptical from Aug 2025 onward as growth visibly flattened and management repeatedly deferred an oft-discussed main-board listing and a long-promised acquisition despite a large cash pile. By Mar-May 2026, even previously bullish posters (Pratik_Shetty, newrb) were pressing management for a clearer explanation of the growth stall, and the thread's last post (2026-08-18) is a disillusioned investor exiting at a loss and recommending others redeploy into index/small-cap mutual funds instead.</w:t>
      </w:r>
    </w:p>
    <w:p>
      <w:pPr>
        <w:spacing w:after="120"/>
      </w:pPr>
      <w:r>
        <w:rPr>
          <w:b/>
          <w:bCs/>
          <w:sz w:val="20"/>
          <w:szCs w:val="20"/>
        </w:rPr>
        <w:t xml:space="preserve">High-conviction call from a top contributor: </w:t>
      </w:r>
      <w:r>
        <w:rPr>
          <w:sz w:val="20"/>
          <w:szCs w:val="20"/>
        </w:rPr>
        <w:t xml:space="preserve">Trusted user BuyRightSitTight was the most active and constructive voice through 2025, directly emailing management for clarifications and reporting responsive answers, but even this poster's tone cooled by early 2026. Trusted user newrb gave the most detailed skeptical technical read (Mar 2026): the 'revenue lag' explanation doesn't hold up against Microsoft Dynamics' own 20%+ sustained growth, and management appears to have under-invested in sales/business development, decoupling revenue from Microsoft's ecosystem tailwind rather than benefiting from it.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2026-04-06 — BuyRightSitTight</w:t>
      </w:r>
      <w:r>
        <w:rPr>
          <w:i/>
          <w:iCs/>
          <w:color w:val="666666"/>
          <w:sz w:val="18"/>
          <w:szCs w:val="18"/>
        </w:rPr>
        <w:t xml:space="preserve"> (All E Technologies)</w:t>
      </w:r>
      <w:r>
        <w:rPr>
          <w:sz w:val="20"/>
          <w:szCs w:val="20"/>
        </w:rPr>
        <w:br/>
        <w:t xml:space="preserve">: Noted promoter open-market buying since Feb 2026 as a modest confidence signal, though flagged uncertainty about whether it was properly disclosed to NSE.</w:t>
      </w:r>
    </w:p>
    <w:p>
      <w:pPr>
        <w:spacing w:after="100"/>
      </w:pPr>
      <w:r>
        <w:rPr>
          <w:b/>
          <w:bCs/>
          <w:sz w:val="20"/>
          <w:szCs w:val="20"/>
        </w:rPr>
        <w:t xml:space="preserve">2026-03-17 — newrb</w:t>
      </w:r>
      <w:r>
        <w:rPr>
          <w:i/>
          <w:iCs/>
          <w:color w:val="666666"/>
          <w:sz w:val="18"/>
          <w:szCs w:val="18"/>
        </w:rPr>
        <w:t xml:space="preserve"> (All E Technologies)</w:t>
      </w:r>
      <w:r>
        <w:rPr>
          <w:sz w:val="20"/>
          <w:szCs w:val="20"/>
        </w:rPr>
        <w:br/>
        <w:t xml:space="preserve">: Argued the management's 'revenue lag' explanation for flat growth doesn't hold up given Microsoft Dynamics' own sustained 20%+ growth, and that Alletec appears to have under-invested in sales/BD rather than genuinely lagging a real tailwind.</w:t>
      </w:r>
    </w:p>
    <w:p>
      <w:pPr>
        <w:pStyle w:val="Heading1"/>
        <w:spacing w:after="120" w:before="280"/>
      </w:pPr>
      <w:r>
        <w:t xml:space="preserve">BSE Corporate Actions / Other Red Flags</w:t>
      </w:r>
    </w:p>
    <w:p>
      <w:pPr>
        <w:spacing w:after="120"/>
      </w:pPr>
      <w:r>
        <w:t xml:space="preserve">Not independently checked this pass; one poster (Pratik_Shetty) noted total promoter purchases in a recent quarter were under Rs 10 lakh, i.e., not a material signal either way.</w:t>
      </w:r>
    </w:p>
    <w:p>
      <w:pPr>
        <w:pStyle w:val="Heading1"/>
        <w:spacing w:after="120" w:before="280"/>
      </w:pPr>
      <w:r>
        <w:t xml:space="preserve">Bull Case</w:t>
      </w:r>
    </w:p>
    <w:p>
      <w:pPr>
        <w:pStyle w:val="ListParagraph"/>
        <w:numPr>
          <w:ilvl w:val="0"/>
          <w:numId w:val="1"/>
        </w:numPr>
        <w:spacing w:after="60"/>
      </w:pPr>
      <w:r>
        <w:t xml:space="preserve">Debt-free balance sheet with cash reserves close to half of market cap gives significant downside cushion and optionality for an eventual acquisition</w:t>
      </w:r>
    </w:p>
    <w:p>
      <w:pPr>
        <w:pStyle w:val="ListParagraph"/>
        <w:numPr>
          <w:ilvl w:val="0"/>
          <w:numId w:val="1"/>
        </w:numPr>
        <w:spacing w:after="60"/>
      </w:pPr>
      <w:r>
        <w:t xml:space="preserve">Strong margins (net margin ~22%, ROE ~20%) and a genuine Microsoft-ecosystem tailwind (Dynamics 365, Power Platform, Azure) the company is certified to implement</w:t>
      </w:r>
    </w:p>
    <w:p>
      <w:pPr>
        <w:pStyle w:val="ListParagraph"/>
        <w:numPr>
          <w:ilvl w:val="0"/>
          <w:numId w:val="1"/>
        </w:numPr>
        <w:spacing w:after="60"/>
      </w:pPr>
      <w:r>
        <w:t xml:space="preserve">No H1B-visa exposure (confirmed by management) insulates the business from a specific US immigration-policy risk that affects competing IT services models</w:t>
      </w:r>
    </w:p>
    <w:p>
      <w:pPr>
        <w:pStyle w:val="Heading1"/>
        <w:spacing w:after="120" w:before="280"/>
      </w:pPr>
      <w:r>
        <w:t xml:space="preserve">Bear Case / Key Risks</w:t>
      </w:r>
    </w:p>
    <w:p>
      <w:pPr>
        <w:pStyle w:val="ListParagraph"/>
        <w:numPr>
          <w:ilvl w:val="0"/>
          <w:numId w:val="1"/>
        </w:numPr>
        <w:spacing w:after="60"/>
      </w:pPr>
      <w:r>
        <w:t xml:space="preserve">Growth has stalled for several quarters (flat ~Rs 36 Cr quarterly revenue) against a historical ~20% CAGR, with management's explanation not convincing to the community's own technical scrutiny</w:t>
      </w:r>
    </w:p>
    <w:p>
      <w:pPr>
        <w:pStyle w:val="ListParagraph"/>
        <w:numPr>
          <w:ilvl w:val="0"/>
          <w:numId w:val="1"/>
        </w:numPr>
        <w:spacing w:after="60"/>
      </w:pPr>
      <w:r>
        <w:t xml:space="preserve">Large cash pile has sat undeployed for 3+ years without a disclosed acquisition, despite management repeatedly signaling one 'is underway' — a capital-allocation credibility gap flagged by multiple posters</w:t>
      </w:r>
    </w:p>
    <w:p>
      <w:pPr>
        <w:pStyle w:val="ListParagraph"/>
        <w:numPr>
          <w:ilvl w:val="0"/>
          <w:numId w:val="1"/>
        </w:numPr>
        <w:spacing w:after="60"/>
      </w:pPr>
      <w:r>
        <w:t xml:space="preserve">Main-board listing (eligible since Dec 2025) has been repeatedly deferred without explanation, keeping the stock on the thinly-traded, illiquid SME board</w:t>
      </w:r>
    </w:p>
    <w:p>
      <w:pPr>
        <w:pStyle w:val="ListParagraph"/>
        <w:numPr>
          <w:ilvl w:val="0"/>
          <w:numId w:val="1"/>
        </w:numPr>
        <w:spacing w:after="60"/>
      </w:pPr>
      <w:r>
        <w:t xml:space="preserve">Community sentiment has visibly soured over the past year, including a disillusioned long-term holder publicly exiting at a loss in the most recent post read</w:t>
      </w:r>
    </w:p>
    <w:p>
      <w:pPr>
        <w:pStyle w:val="Heading1"/>
        <w:spacing w:after="120" w:before="280"/>
      </w:pPr>
      <w:r>
        <w:t xml:space="preserve">Market-Cap Tier (informational — not a gate in this project)</w:t>
      </w:r>
    </w:p>
    <w:p>
      <w:pPr>
        <w:spacing w:after="120"/>
      </w:pPr>
      <w:r>
        <w:rPr>
          <w:b/>
          <w:bCs/>
        </w:rPr>
        <w:t xml:space="preserve">Micro-cap (~Rs 271-400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High-quality, debt-free balance sheet undermined by a genuine, multi-quarter growth stall and a widening capital-allocation credibility gap</w:t>
      </w:r>
    </w:p>
    <w:p>
      <w:pPr>
        <w:pStyle w:val="ListParagraph"/>
        <w:numPr>
          <w:ilvl w:val="0"/>
          <w:numId w:val="1"/>
        </w:numPr>
        <w:spacing w:after="60"/>
      </w:pPr>
      <w:r>
        <w:t xml:space="preserve">Both the trailing and the recent-quarter trend are weak (growth stalled, not accelerating), with no confirmed catalyst — the opposite of the pattern that would justify an unconfirmed 10x-in-2-3-years tag</w:t>
      </w:r>
    </w:p>
    <w:p>
      <w:pPr>
        <w:pStyle w:val="ListParagraph"/>
        <w:numPr>
          <w:ilvl w:val="0"/>
          <w:numId w:val="1"/>
        </w:numPr>
        <w:spacing w:after="60"/>
      </w:pPr>
      <w:r>
        <w:t xml:space="preserve">Community sentiment has deteriorated over the past year specifically because management has not deployed its large cash pile or delivered the main-board listing repeatedly signaled, a real and worsening trust issue rather than a one-off concern</w:t>
      </w:r>
    </w:p>
    <w:p>
      <w:pPr>
        <w:pStyle w:val="ListParagraph"/>
        <w:numPr>
          <w:ilvl w:val="0"/>
          <w:numId w:val="1"/>
        </w:numPr>
        <w:spacing w:after="60"/>
      </w:pPr>
      <w:r>
        <w:t xml:space="preserve">Worth revisiting only if a genuine acquisition, main-board listing, or growth reacceleration materializes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2026-08-26T17:12:18.673Z</dcterms:created>
  <dcterms:modified xsi:type="dcterms:W3CDTF">2026-08-26T17:12:18.673Z</dcterms:modified>
</cp:coreProperties>
</file>

<file path=docProps/custom.xml><?xml version="1.0" encoding="utf-8"?>
<Properties xmlns="http://schemas.openxmlformats.org/officeDocument/2006/custom-properties" xmlns:vt="http://schemas.openxmlformats.org/officeDocument/2006/docPropsVTypes"/>
</file>