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Angel One Ltd</w:t>
      </w:r>
    </w:p>
    <w:p>
      <w:pPr>
        <w:pBdr>
          <w:bottom w:val="single" w:color="CCCCCC" w:sz="6" w:space="8"/>
        </w:pBdr>
        <w:spacing w:after="200"/>
      </w:pPr>
      <w:r>
        <w:rPr>
          <w:i/>
          <w:iCs/>
          <w:color w:val="666666"/>
          <w:sz w:val="22"/>
          <w:szCs w:val="22"/>
        </w:rPr>
        <w:t xml:space="preserve">The discount-broking incumbent under direct regulatory and competitive pressure (F&amp;O STT hike, SEBI 50:50 margin rule, market-share losses to Groww/Zerodha/Dhan) — pivoting to full-stack financial services, but the size and headwinds argue against a fresh multibagger case here</w:t>
      </w:r>
    </w:p>
    <w:p>
      <w:pPr>
        <w:pStyle w:val="Heading1"/>
        <w:spacing w:after="120" w:before="280"/>
      </w:pPr>
      <w:r>
        <w:t xml:space="preserve">Business Overview</w:t>
      </w:r>
    </w:p>
    <w:p>
      <w:pPr>
        <w:spacing w:after="120"/>
      </w:pPr>
      <w:r>
        <w:t xml:space="preserve">India's largest listed discount stockbroker by client count, diversifying into wealth management, asset management (AMC), margin trading/loan-against-securities, and insurance distribution under a newly-hired tech-focused CEO, as core F&amp;O broking economics come under sustained regulatory and competitive pressure.</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31,197 Cr (mid/large-cap)</w:t>
            </w:r>
          </w:p>
        </w:tc>
      </w:tr>
      <w:tr>
        <w:tc>
          <w:tcPr>
            <w:tcW w:type="dxa" w:w="3200"/>
            <w:shd w:fill="F2F2F2" w:val="clear"/>
          </w:tcPr>
          <w:p>
            <w:r>
              <w:rPr>
                <w:b/>
                <w:bCs/>
              </w:rPr>
              <w:t xml:space="preserve">Q1 FY27 revenue</w:t>
            </w:r>
          </w:p>
        </w:tc>
        <w:tc>
          <w:tcPr>
            <w:tcW w:type="dxa" w:w="5800"/>
          </w:tcPr>
          <w:p>
            <w:r>
              <w:t xml:space="preserve">Rs 1,429.7 Cr, +25.4% YoY, but -2.0% QoQ</w:t>
            </w:r>
          </w:p>
        </w:tc>
      </w:tr>
      <w:tr>
        <w:tc>
          <w:tcPr>
            <w:tcW w:type="dxa" w:w="3200"/>
            <w:shd w:fill="F2F2F2" w:val="clear"/>
          </w:tcPr>
          <w:p>
            <w:r>
              <w:rPr>
                <w:b/>
                <w:bCs/>
              </w:rPr>
              <w:t xml:space="preserve">Q1 FY27 PAT</w:t>
            </w:r>
          </w:p>
        </w:tc>
        <w:tc>
          <w:tcPr>
            <w:tcW w:type="dxa" w:w="5800"/>
          </w:tcPr>
          <w:p>
            <w:r>
              <w:t xml:space="preserve">Rs 231.4 Cr, +102% YoY (vs. a depressed prior-year base) but broking-specific revenue -23% QoQ</w:t>
            </w:r>
          </w:p>
        </w:tc>
      </w:tr>
      <w:tr>
        <w:tc>
          <w:tcPr>
            <w:tcW w:type="dxa" w:w="3200"/>
            <w:shd w:fill="F2F2F2" w:val="clear"/>
          </w:tcPr>
          <w:p>
            <w:r>
              <w:rPr>
                <w:b/>
                <w:bCs/>
              </w:rPr>
              <w:t xml:space="preserve">ROCE / ROE</w:t>
            </w:r>
          </w:p>
        </w:tc>
        <w:tc>
          <w:tcPr>
            <w:tcW w:type="dxa" w:w="5800"/>
          </w:tcPr>
          <w:p>
            <w:r>
              <w:t xml:space="preserve">~14.8% / ~15.6%</w:t>
            </w:r>
          </w:p>
        </w:tc>
      </w:tr>
      <w:tr>
        <w:tc>
          <w:tcPr>
            <w:tcW w:type="dxa" w:w="3200"/>
            <w:shd w:fill="F2F2F2" w:val="clear"/>
          </w:tcPr>
          <w:p>
            <w:r>
              <w:rPr>
                <w:b/>
                <w:bCs/>
              </w:rPr>
              <w:t xml:space="preserve">Client base</w:t>
            </w:r>
          </w:p>
        </w:tc>
        <w:tc>
          <w:tcPr>
            <w:tcW w:type="dxa" w:w="5800"/>
          </w:tcPr>
          <w:p>
            <w:r>
              <w:t xml:space="preserve">38.6 Mn users, +18.8% YoY, +3.2% QoQ; gross client acquisition -13.6% YoY, -26.7% QoQ</w:t>
            </w:r>
          </w:p>
        </w:tc>
      </w:tr>
      <w:tr>
        <w:tc>
          <w:tcPr>
            <w:tcW w:type="dxa" w:w="3200"/>
            <w:shd w:fill="F2F2F2" w:val="clear"/>
          </w:tcPr>
          <w:p>
            <w:r>
              <w:rPr>
                <w:b/>
                <w:bCs/>
              </w:rPr>
              <w:t xml:space="preserve">Regulatory hit (Apr 2026)</w:t>
            </w:r>
          </w:p>
        </w:tc>
        <w:tc>
          <w:tcPr>
            <w:tcW w:type="dxa" w:w="5800"/>
          </w:tcPr>
          <w:p>
            <w:r>
              <w:t xml:space="preserve">F&amp;O STT hiked (futures 0.02%-&gt;0.05%, options premium 0.10%-&gt;0.15%); SEBI 50:50 cash-margin rule for F&amp;O positions</w:t>
            </w:r>
          </w:p>
        </w:tc>
      </w:tr>
    </w:tbl>
    <w:p>
      <w:pPr>
        <w:spacing w:after="100"/>
      </w:pPr>
    </w:p>
    <w:p>
      <w:pPr>
        <w:spacing w:after="120"/>
      </w:pPr>
      <w:r>
        <w:t xml:space="preserve">The headline PAT growth (+102% YoY) is flattered by a weak prior-year base, not evidence of current momentum — the same quarter shows gross broking revenue down 23% QoQ on the F&amp;O STT hike and margin-rule changes, and client acquisition slowing meaningfully (-13.6% YoY). Angel One revised its brokerage pricing (up, matching Groww's structure) specifically to defend margins, an estimated +Rs 50-60 Cr annualised PBT impact — a defensive move, not a growth lever. This is a business managing a genuine structural transition, not accelerating.</w:t>
      </w:r>
    </w:p>
    <w:p>
      <w:pPr>
        <w:pStyle w:val="Heading1"/>
        <w:spacing w:after="120" w:before="280"/>
      </w:pPr>
      <w:r>
        <w:t xml:space="preserve">Technical Read (Weekly / Monthly MACD + Bollinger Bands, or RSI/CCI/Williams %R proxy)</w:t>
      </w:r>
    </w:p>
    <w:p>
      <w:pPr>
        <w:spacing w:after="120"/>
      </w:pPr>
      <w:r>
        <w:t xml:space="preserve">Not independently pulled.</w:t>
      </w:r>
    </w:p>
    <w:p>
      <w:pPr>
        <w:pStyle w:val="Heading1"/>
        <w:spacing w:after="120" w:before="280"/>
      </w:pPr>
      <w:r>
        <w:t xml:space="preserve">ValuePickr Community Signal</w:t>
      </w:r>
    </w:p>
    <w:p>
      <w:pPr>
        <w:spacing w:after="120"/>
      </w:pPr>
      <w:r>
        <w:t xml:space="preserve">VP thread (topic 56847, 352-375 posts, last active Jan 2026, so predates the Apr 2026 STT hike) shows the community tracking the regulatory/competitive squeeze in real time through 2025: Jul 2025 — a poster noted the business-restructuring push into full financial services is partly forced by regulations restricting stockbrokers from other lines. Oct 2025 — a poster flagged the new tech-focused (ex-Google) CEO and expansion into wealth/asset management/insurance, explicitly worrying these are 'heavily regulated, experience-driven industries' outside Angel One's core competency; another poster countered that margin trading/LAS/F&amp;O remain the bigger near-term opportunity regardless. Oct 2025 — the brokerage-fee revision (+Rs 50-60 Cr PBT) was noted as a defensive margin-repair move. Nov 2025 — a poster flagged Groww's listing/valuation as a potential re-rating catalyst for Angel One, but also noted Groww's superior profitability metrics, an open question. Jan 2026 (last posts) — one poster called the quarter 'improving,' another flagged 'market share losses in December' the same day. No trusted-user posts identified.</w:t>
      </w:r>
    </w:p>
    <w:p>
      <w:pPr>
        <w:spacing w:after="120"/>
      </w:pPr>
      <w:r>
        <w:rPr>
          <w:b/>
          <w:bCs/>
          <w:sz w:val="20"/>
          <w:szCs w:val="20"/>
        </w:rPr>
        <w:t xml:space="preserve">High-conviction call from a top contributor: </w:t>
      </w:r>
      <w:r>
        <w:rPr>
          <w:sz w:val="20"/>
          <w:szCs w:val="20"/>
        </w:rPr>
        <w:t xml:space="preserve">Genuinely split and anxious — the community sees the diversification logic but is actively worried about execution risk in unfamiliar regulated verticals, and the thread's own final posts (Jan 2026) disagree with each other on whether the trend is improving or deteriorating, right before the Apr 2026 regulatory hit this scan's own fundamentals research found.</w:t>
      </w:r>
    </w:p>
    <w:p>
      <w:pPr>
        <w:pStyle w:val="Heading1"/>
        <w:spacing w:after="120" w:before="280"/>
      </w:pPr>
      <w:r>
        <w:t xml:space="preserve">BSE Corporate Actions / Other Red Flags</w:t>
      </w:r>
    </w:p>
    <w:p>
      <w:pPr>
        <w:spacing w:after="120"/>
      </w:pPr>
      <w:r>
        <w:t xml:space="preserve">No SEBI/fraud order; no going-concern issue. No red_flag_tier.</w:t>
      </w:r>
    </w:p>
    <w:p>
      <w:pPr>
        <w:pStyle w:val="Heading1"/>
        <w:spacing w:after="120" w:before="280"/>
      </w:pPr>
      <w:r>
        <w:t xml:space="preserve">Bull Case</w:t>
      </w:r>
    </w:p>
    <w:p>
      <w:pPr>
        <w:pStyle w:val="ListParagraph"/>
        <w:numPr>
          <w:ilvl w:val="0"/>
          <w:numId w:val="1"/>
        </w:numPr>
        <w:spacing w:after="60"/>
      </w:pPr>
      <w:r>
        <w:t xml:space="preserve">Largest listed discount-broking franchise by client count (38.6 Mn users), with real optionality in margin trading/LAS/F&amp;O if it can hold share</w:t>
      </w:r>
    </w:p>
    <w:p>
      <w:pPr>
        <w:pStyle w:val="ListParagraph"/>
        <w:numPr>
          <w:ilvl w:val="0"/>
          <w:numId w:val="1"/>
        </w:numPr>
        <w:spacing w:after="60"/>
      </w:pPr>
      <w:r>
        <w:t xml:space="preserve">Diversification into wealth management, AMC and insurance distribution, led by a newly-hired tech-focused (ex-Google) CEO, is a credible long-term platform story if execution holds</w:t>
      </w:r>
    </w:p>
    <w:p>
      <w:pPr>
        <w:pStyle w:val="ListParagraph"/>
        <w:numPr>
          <w:ilvl w:val="0"/>
          <w:numId w:val="1"/>
        </w:numPr>
        <w:spacing w:after="60"/>
      </w:pPr>
      <w:r>
        <w:t xml:space="preserve">Sits inside the live priority-2 'capital-markets financialisation' theme (broking is explicitly named in the theme's keyword set)</w:t>
      </w:r>
    </w:p>
    <w:p>
      <w:pPr>
        <w:pStyle w:val="Heading1"/>
        <w:spacing w:after="120" w:before="280"/>
      </w:pPr>
      <w:r>
        <w:t xml:space="preserve">Bear Case / Key Risks</w:t>
      </w:r>
    </w:p>
    <w:p>
      <w:pPr>
        <w:pStyle w:val="ListParagraph"/>
        <w:numPr>
          <w:ilvl w:val="0"/>
          <w:numId w:val="1"/>
        </w:numPr>
        <w:spacing w:after="60"/>
      </w:pPr>
      <w:r>
        <w:t xml:space="preserve">Core F&amp;O broking economics under direct, ongoing regulatory pressure (Apr 2026 STT hike, SEBI 50:50 margin rule) — gross broking revenue -23% QoQ in the very next quarter after this research's fundamentals check</w:t>
      </w:r>
    </w:p>
    <w:p>
      <w:pPr>
        <w:pStyle w:val="ListParagraph"/>
        <w:numPr>
          <w:ilvl w:val="0"/>
          <w:numId w:val="1"/>
        </w:numPr>
        <w:spacing w:after="60"/>
      </w:pPr>
      <w:r>
        <w:t xml:space="preserve">Client acquisition slowing sharply (-13.6% YoY, -26.7% QoQ) and 'market share losses' flagged by the community itself as recently as Jan 2026</w:t>
      </w:r>
    </w:p>
    <w:p>
      <w:pPr>
        <w:pStyle w:val="ListParagraph"/>
        <w:numPr>
          <w:ilvl w:val="0"/>
          <w:numId w:val="1"/>
        </w:numPr>
        <w:spacing w:after="60"/>
      </w:pPr>
      <w:r>
        <w:t xml:space="preserve">Diversification into wealth/AMC/insurance is unproven — the community's own read is skepticism about execution in unfamiliar regulated verticals, not confidence</w:t>
      </w:r>
    </w:p>
    <w:p>
      <w:pPr>
        <w:pStyle w:val="ListParagraph"/>
        <w:numPr>
          <w:ilvl w:val="0"/>
          <w:numId w:val="1"/>
        </w:numPr>
        <w:spacing w:after="60"/>
      </w:pPr>
      <w:r>
        <w:t xml:space="preserve">Rs 31,000 Cr mid/large-cap already, competing directly against a newly-listed, better-margined Groww and entrenched Zerodha — no clean 10x-scale argument</w:t>
      </w:r>
    </w:p>
    <w:p>
      <w:pPr>
        <w:pStyle w:val="Heading1"/>
        <w:spacing w:after="120" w:before="280"/>
      </w:pPr>
      <w:r>
        <w:t xml:space="preserve">Market-Cap Tier (informational — not a gate in this project)</w:t>
      </w:r>
    </w:p>
    <w:p>
      <w:pPr>
        <w:spacing w:after="120"/>
      </w:pPr>
      <w:r>
        <w:rPr>
          <w:b/>
          <w:bCs/>
        </w:rPr>
        <w:t xml:space="preserve">Mid/large-cap (~Rs 31,197 Cr)</w:t>
      </w:r>
    </w:p>
    <w:p>
      <w:pPr>
        <w:pStyle w:val="Heading1"/>
        <w:spacing w:after="120" w:before="280"/>
      </w:pPr>
      <w:r>
        <w:t xml:space="preserve">Thesis Fit</w:t>
      </w:r>
    </w:p>
    <w:p>
      <w:pPr>
        <w:spacing w:after="120"/>
      </w:pPr>
      <w:r>
        <w:rPr>
          <w:b/>
          <w:bCs/>
          <w:sz w:val="24"/>
          <w:szCs w:val="24"/>
        </w:rPr>
        <w:t xml:space="preserve">neither</w:t>
      </w:r>
    </w:p>
    <w:p>
      <w:pPr>
        <w:spacing w:after="120"/>
      </w:pPr>
      <w:r>
        <w:rPr>
          <w:color w:val="666666"/>
          <w:sz w:val="20"/>
          <w:szCs w:val="20"/>
        </w:rPr>
        <w:t xml:space="preserve">4-box gate — tailwind: weak · TAM: weak · moat: no · valuation: weak  (score 1.5 / 4)</w:t>
      </w:r>
    </w:p>
    <w:p>
      <w:pPr>
        <w:spacing w:after="120"/>
      </w:pPr>
      <w:r>
        <w:rPr>
          <w:i/>
          <w:iCs/>
          <w:color w:val="666666"/>
          <w:sz w:val="20"/>
          <w:szCs w:val="20"/>
        </w:rPr>
        <w:t xml:space="preserve">tailwind weak (financialisation of Indian savings is a real macro tailwind, but broking specifically — Angel One's core segment — is the sub-segment under the most direct regulatory margin pressure within that theme, not a clean beneficiary). tam weak (already Rs 31,000 Cr; broking TAM is being actively capped by regulation, not expanded). moat no (commoditising discount-broking category, actively losing share to Groww/Zerodha/Dhan on the community's own read). valuation weak (not expensive, but not identifiably cheap given the regulatory overhang either). Score 1.5 -&gt; 'neither', hard.</w:t>
      </w:r>
    </w:p>
    <w:p>
      <w:pPr>
        <w:pStyle w:val="Heading1"/>
        <w:spacing w:after="120" w:before="280"/>
      </w:pPr>
      <w:r>
        <w:t xml:space="preserve">Verdict</w:t>
      </w:r>
    </w:p>
    <w:p>
      <w:pPr>
        <w:spacing w:after="120"/>
      </w:pPr>
      <w:r>
        <w:rPr>
          <w:b/>
          <w:bCs/>
          <w:sz w:val="24"/>
          <w:szCs w:val="24"/>
        </w:rPr>
      </w:r>
    </w:p>
    <w:p>
      <w:pPr>
        <w:pStyle w:val="ListParagraph"/>
        <w:numPr>
          <w:ilvl w:val="0"/>
          <w:numId w:val="1"/>
        </w:numPr>
        <w:spacing w:after="60"/>
      </w:pPr>
      <w:r>
        <w:t xml:space="preserve">External-lead (tier 4.5, @StocksAndStoics). Live-theme match: 'capital-markets financialisation' (priority 2) — direct hit (broking explicitly named in the theme keywords), but Angel One is the incumbent facing the theme's competitive/regulatory pressure, not a clean structural beneficiary like an exchange/depository/RTA further up the value chain. four_box score 1.5 -&gt; thesis_fit 'neither', hard.</w:t>
      </w:r>
    </w:p>
    <w:p>
      <w:pPr>
        <w:pStyle w:val="ListParagraph"/>
        <w:numPr>
          <w:ilvl w:val="0"/>
          <w:numId w:val="1"/>
        </w:numPr>
        <w:spacing w:after="60"/>
      </w:pPr>
      <w:r>
        <w:t xml:space="preserve">Conviction Low-Medium: real scale and a credible diversification narrative, but current-quarter fundamentals (broking revenue -23% QoQ, slowing client growth, community-flagged share losses) show the headwinds are live and biting, not merely a future risk.</w:t>
      </w:r>
    </w:p>
    <w:p>
      <w:pPr>
        <w:pStyle w:val="ListParagraph"/>
        <w:numPr>
          <w:ilvl w:val="0"/>
          <w:numId w:val="1"/>
        </w:numPr>
        <w:spacing w:after="60"/>
      </w:pPr>
      <w:r>
        <w:t xml:space="preserve">No red_flag_tier, no revisit flag. Better suited to the theme's other legs (exchanges, depositories, RTAs, AMCs) already partly covered elsewhere in the screen than to the incumbent broker itself right now.</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2026-09-04T13:37:14.668Z</dcterms:created>
  <dcterms:modified xsi:type="dcterms:W3CDTF">2026-09-04T13:37:14.668Z</dcterms:modified>
</cp:coreProperties>
</file>

<file path=docProps/custom.xml><?xml version="1.0" encoding="utf-8"?>
<Properties xmlns="http://schemas.openxmlformats.org/officeDocument/2006/custom-properties" xmlns:vt="http://schemas.openxmlformats.org/officeDocument/2006/docPropsVTypes"/>
</file>