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Apcotex Industries Ltd</w:t>
      </w:r>
    </w:p>
    <w:p>
      <w:pPr>
        <w:pBdr>
          <w:bottom w:val="single" w:color="CCCCCC" w:sz="6" w:space="8"/>
        </w:pBdr>
        <w:spacing w:after="200"/>
      </w:pPr>
      <w:r>
        <w:rPr>
          <w:i/>
          <w:iCs/>
          <w:color w:val="666666"/>
          <w:sz w:val="22"/>
          <w:szCs w:val="22"/>
        </w:rPr>
        <w:t xml:space="preserve">Synthetic-rubber maker posting a genuine turnaround quarter (revenue +40%, PAT +311% YoY) backed by an anti-dumping filing and capacity expansion -- though the community itself flags the quarter may be flattered</w:t>
      </w:r>
    </w:p>
    <w:p>
      <w:pPr>
        <w:pStyle w:val="Heading1"/>
        <w:spacing w:after="120" w:before="280"/>
      </w:pPr>
      <w:r>
        <w:t xml:space="preserve">Business Overview</w:t>
      </w:r>
    </w:p>
    <w:p>
      <w:pPr>
        <w:spacing w:after="120"/>
      </w:pPr>
      <w:r>
        <w:t xml:space="preserve">Apcotex Industries manufactures synthetic rubber (NBR, nitrile latex) and specialty polymers, with a significant export business and a near-monopoly position in some synthetic rubber categories in India.</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3,108 Cr</w:t>
            </w:r>
          </w:p>
        </w:tc>
      </w:tr>
      <w:tr>
        <w:tc>
          <w:tcPr>
            <w:tcW w:type="dxa" w:w="3200"/>
            <w:shd w:fill="F2F2F2" w:val="clear"/>
          </w:tcPr>
          <w:p>
            <w:r>
              <w:rPr>
                <w:b/>
                <w:bCs/>
              </w:rPr>
              <w:t xml:space="preserve">ROE</w:t>
            </w:r>
          </w:p>
        </w:tc>
        <w:tc>
          <w:tcPr>
            <w:tcW w:type="dxa" w:w="5800"/>
          </w:tcPr>
          <w:p>
            <w:r>
              <w:t xml:space="preserve">12.8% (3yr avg, weak)</w:t>
            </w:r>
          </w:p>
        </w:tc>
      </w:tr>
      <w:tr>
        <w:tc>
          <w:tcPr>
            <w:tcW w:type="dxa" w:w="3200"/>
            <w:shd w:fill="F2F2F2" w:val="clear"/>
          </w:tcPr>
          <w:p>
            <w:r>
              <w:rPr>
                <w:b/>
                <w:bCs/>
              </w:rPr>
              <w:t xml:space="preserve">Revenue growth</w:t>
            </w:r>
          </w:p>
        </w:tc>
        <w:tc>
          <w:tcPr>
            <w:tcW w:type="dxa" w:w="5800"/>
          </w:tcPr>
          <w:p>
            <w:r>
              <w:t xml:space="preserve">15.9% median over 10yrs, but recent YoY had decelerated to 4.13% before this quarter</w:t>
            </w:r>
          </w:p>
        </w:tc>
      </w:tr>
      <w:tr>
        <w:tc>
          <w:tcPr>
            <w:tcW w:type="dxa" w:w="3200"/>
            <w:shd w:fill="F2F2F2" w:val="clear"/>
          </w:tcPr>
          <w:p>
            <w:r>
              <w:rPr>
                <w:b/>
                <w:bCs/>
              </w:rPr>
              <w:t xml:space="preserve">Q1 FY27 (Jun 2026)</w:t>
            </w:r>
          </w:p>
        </w:tc>
        <w:tc>
          <w:tcPr>
            <w:tcW w:type="dxa" w:w="5800"/>
          </w:tcPr>
          <w:p>
            <w:r>
              <w:t xml:space="preserve">Revenue Rs 526 Cr, up 40% YoY (record high); EBITDA up 203% YoY, margin 22.3% vs 10.3% a year earlier; PAT up 311% YoY to Rs 79 Cr, margin 15%</w:t>
            </w:r>
          </w:p>
        </w:tc>
      </w:tr>
      <w:tr>
        <w:tc>
          <w:tcPr>
            <w:tcW w:type="dxa" w:w="3200"/>
            <w:shd w:fill="F2F2F2" w:val="clear"/>
          </w:tcPr>
          <w:p>
            <w:r>
              <w:rPr>
                <w:b/>
                <w:bCs/>
              </w:rPr>
              <w:t xml:space="preserve">Debt</w:t>
            </w:r>
          </w:p>
        </w:tc>
        <w:tc>
          <w:tcPr>
            <w:tcW w:type="dxa" w:w="5800"/>
          </w:tcPr>
          <w:p>
            <w:r>
              <w:t xml:space="preserve">Reduced; dividend payout historically ~52%</w:t>
            </w:r>
          </w:p>
        </w:tc>
      </w:tr>
    </w:tbl>
    <w:p>
      <w:pPr>
        <w:spacing w:after="100"/>
      </w:pPr>
    </w:p>
    <w:p>
      <w:pPr>
        <w:spacing w:after="120"/>
      </w:pPr>
      <w:r>
        <w:t xml:space="preserve">This is exactly the weak-trailing-average, strong-specific-recent-quarter pattern the thesis is built to catch: a 3-year ROE of only 12.8% and decelerating pre-quarter growth (4.13% YoY) sit against a record Q1 FY27 with revenue +40%, EBITDA +203%, and PAT +311% YoY. Management itself flagged that the quarter included one-time inventory gains and that the 22.3% EBITDA margin is not sustainable against a stated long-term average of 15-16%.</w:t>
      </w:r>
    </w:p>
    <w:p>
      <w:pPr>
        <w:pStyle w:val="Heading1"/>
        <w:spacing w:after="120" w:before="280"/>
      </w:pPr>
      <w:r>
        <w:t xml:space="preserve">Technical Read (Weekly / Monthly MACD + Bollinger Bands, or RSI/CCI/Williams %R proxy)</w:t>
      </w:r>
    </w:p>
    <w:p>
      <w:pPr>
        <w:spacing w:after="120"/>
      </w:pPr>
      <w:r>
        <w:t xml:space="preserve">Not pulled this pass -- small/mid-cap escalation criteria for browser-based technicals were not triggered.</w:t>
      </w:r>
    </w:p>
    <w:p>
      <w:pPr>
        <w:pStyle w:val="Heading1"/>
        <w:spacing w:after="120" w:before="280"/>
      </w:pPr>
      <w:r>
        <w:t xml:space="preserve">ValuePickr Community Signal</w:t>
      </w:r>
    </w:p>
    <w:p>
      <w:pPr>
        <w:spacing w:after="120"/>
      </w:pPr>
      <w:r>
        <w:t xml:space="preserve">Read all 50 most recent posts (#93-145, spanning Apr 2023 to May 2026) of a 145-post thread. Multiple trusted users (Worldlywiseinvestors, Simrat, Gautam_Chopra, Marathondreams, hnk_so, Prabhat_Mohanty, all elevated-tier) engaged over the period, though activity was sparse in 2026 (5 posts) and the thread predates the Aug 2026 Q1 FY27 results -- the community has not yet reacted to this specific quarter.</w:t>
      </w:r>
    </w:p>
    <w:p>
      <w:pPr>
        <w:spacing w:after="120"/>
      </w:pPr>
      <w:r>
        <w:rPr>
          <w:b/>
          <w:bCs/>
          <w:sz w:val="20"/>
          <w:szCs w:val="20"/>
        </w:rPr>
        <w:t xml:space="preserve">High-conviction call from a top contributor: </w:t>
      </w:r>
      <w:r>
        <w:rPr>
          <w:sz w:val="20"/>
          <w:szCs w:val="20"/>
        </w:rPr>
        <w:t xml:space="preserve">koltepankaj (Nov 2025, non-trusted) laid out the turnaround thesis before the results landed: capacity utilization above 80%, an anti-dumping duty filing on NBR imports (decision expected FY26, a real regulatory tailwind), and export share gains as European rivals struggle. mahesh.kalkar (Dec 2025) noted a Rs 210 Cr capex commitment at Valia as a sign of management confidence. makwana23 (trusted-adjacent, May 2026, reacting to the prior good quarter) cautioned that the good numbers coincided with several costs (employee, legal, turbine impairment) being bundled into the same period -- a real caution about earnings quality. hnk_so (trusted) flagged that Apcotex sources raw materials from Gulf countries and has significant export exposure, both vulnerable to Strait of Hormuz-related logistics/shipping disruption. Manav (invested, detailed reply) argued the business is coming off a multi-year down-cycle and that new NBR capacity (operational ~Q1 FY28) is a further lever, while flagging that this new capacity lacks anti-dumping-duty protection.</w:t>
      </w:r>
    </w:p>
    <w:p>
      <w:pPr>
        <w:pStyle w:val="Heading1"/>
        <w:spacing w:after="120" w:before="280"/>
      </w:pPr>
      <w:r>
        <w:t xml:space="preserve">BSE Corporate Actions / Other Red Flags</w:t>
      </w:r>
    </w:p>
    <w:p>
      <w:pPr>
        <w:spacing w:after="120"/>
      </w:pPr>
      <w:r>
        <w:t xml:space="preserve">Not checked this pass.</w:t>
      </w:r>
    </w:p>
    <w:p>
      <w:pPr>
        <w:pStyle w:val="Heading1"/>
        <w:spacing w:after="120" w:before="280"/>
      </w:pPr>
      <w:r>
        <w:t xml:space="preserve">Bull Case</w:t>
      </w:r>
    </w:p>
    <w:p>
      <w:pPr>
        <w:pStyle w:val="ListParagraph"/>
        <w:numPr>
          <w:ilvl w:val="0"/>
          <w:numId w:val="1"/>
        </w:numPr>
        <w:spacing w:after="60"/>
      </w:pPr>
      <w:r>
        <w:t xml:space="preserve">Record Q1 FY27 quarter with broad-based improvement (revenue, EBITDA margin, and PAT all up sharply) driven by real structural factors: capacity utilization, an anti-dumping duty filing, and European rivals struggling on exports</w:t>
      </w:r>
    </w:p>
    <w:p>
      <w:pPr>
        <w:pStyle w:val="ListParagraph"/>
        <w:numPr>
          <w:ilvl w:val="0"/>
          <w:numId w:val="1"/>
        </w:numPr>
        <w:spacing w:after="60"/>
      </w:pPr>
      <w:r>
        <w:t xml:space="preserve">Rs 210 Cr capex commitment signals management confidence in sustained demand</w:t>
      </w:r>
    </w:p>
    <w:p>
      <w:pPr>
        <w:pStyle w:val="ListParagraph"/>
        <w:numPr>
          <w:ilvl w:val="0"/>
          <w:numId w:val="1"/>
        </w:numPr>
        <w:spacing w:after="60"/>
      </w:pPr>
      <w:r>
        <w:t xml:space="preserve">Multiple trusted users are actively engaged and have laid out a specific, falsifiable turnaround thesis ahead of the results</w:t>
      </w:r>
    </w:p>
    <w:p>
      <w:pPr>
        <w:pStyle w:val="Heading1"/>
        <w:spacing w:after="120" w:before="280"/>
      </w:pPr>
      <w:r>
        <w:t xml:space="preserve">Bear Case / Key Risks</w:t>
      </w:r>
    </w:p>
    <w:p>
      <w:pPr>
        <w:pStyle w:val="ListParagraph"/>
        <w:numPr>
          <w:ilvl w:val="0"/>
          <w:numId w:val="1"/>
        </w:numPr>
        <w:spacing w:after="60"/>
      </w:pPr>
      <w:r>
        <w:t xml:space="preserve">Management's own commentary flags the 22.3% margin as unsustainable (one-time inventory gains), against a stated normal range of 15-16%</w:t>
      </w:r>
    </w:p>
    <w:p>
      <w:pPr>
        <w:pStyle w:val="ListParagraph"/>
        <w:numPr>
          <w:ilvl w:val="0"/>
          <w:numId w:val="1"/>
        </w:numPr>
        <w:spacing w:after="60"/>
      </w:pPr>
      <w:r>
        <w:t xml:space="preserve">A knowledgeable poster flagged that several costs (employee, legal, turbine impairment) were bundled into the same quarter as the good results -- a real earnings-quality caution</w:t>
      </w:r>
    </w:p>
    <w:p>
      <w:pPr>
        <w:pStyle w:val="ListParagraph"/>
        <w:numPr>
          <w:ilvl w:val="0"/>
          <w:numId w:val="1"/>
        </w:numPr>
        <w:spacing w:after="60"/>
      </w:pPr>
      <w:r>
        <w:t xml:space="preserve">Raw material sourcing from Gulf countries and meaningful export exposure create real, current logistics/geopolitical risk (Strait of Hormuz)</w:t>
      </w:r>
    </w:p>
    <w:p>
      <w:pPr>
        <w:pStyle w:val="ListParagraph"/>
        <w:numPr>
          <w:ilvl w:val="0"/>
          <w:numId w:val="1"/>
        </w:numPr>
        <w:spacing w:after="60"/>
      </w:pPr>
      <w:r>
        <w:t xml:space="preserve">New NBR capacity (due ~Q1 FY28) will not carry anti-dumping-duty protection, an unresolved risk for future growth</w:t>
      </w:r>
    </w:p>
    <w:p>
      <w:pPr>
        <w:pStyle w:val="Heading1"/>
        <w:spacing w:after="120" w:before="280"/>
      </w:pPr>
      <w:r>
        <w:t xml:space="preserve">Market-Cap Tier (informational — not a gate in this project)</w:t>
      </w:r>
    </w:p>
    <w:p>
      <w:pPr>
        <w:spacing w:after="120"/>
      </w:pPr>
      <w:r>
        <w:rPr>
          <w:b/>
          <w:bCs/>
        </w:rPr>
        <w:t xml:space="preserve">Small-cap (~Rs 3,108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A real turnaround with credible structural drivers, but management's own caution on margin sustainability keeps this at low-medium conviction and unconfirmed</w:t>
      </w:r>
    </w:p>
    <w:p>
      <w:pPr>
        <w:pStyle w:val="ListParagraph"/>
        <w:numPr>
          <w:ilvl w:val="0"/>
          <w:numId w:val="1"/>
        </w:numPr>
        <w:spacing w:after="60"/>
      </w:pPr>
      <w:r>
        <w:t xml:space="preserve">The recent-quarter inflection is genuine and multi-dimensional (revenue, margin, and profit all up sharply), backed by a specific, credible regulatory catalyst (the anti-dumping filing) rather than pure sentiment</w:t>
      </w:r>
    </w:p>
    <w:p>
      <w:pPr>
        <w:pStyle w:val="ListParagraph"/>
        <w:numPr>
          <w:ilvl w:val="0"/>
          <w:numId w:val="1"/>
        </w:numPr>
        <w:spacing w:after="60"/>
      </w:pPr>
      <w:r>
        <w:t xml:space="preserve">But management itself has flagged the margin as a one-off, and a sharp-eyed community poster independently flagged that costs may have been bundled to flatter the same quarter -- real caution on how repeatable this is</w:t>
      </w:r>
    </w:p>
    <w:p>
      <w:pPr>
        <w:pStyle w:val="ListParagraph"/>
        <w:numPr>
          <w:ilvl w:val="0"/>
          <w:numId w:val="1"/>
        </w:numPr>
        <w:spacing w:after="60"/>
      </w:pPr>
      <w:r>
        <w:t xml:space="preserve">Given the small-cap size fits the thesis and the catalyst is structural (not just cyclical), conviction is set to Medium with an explicit caveat that the scale of the improvement is unconfirmed pending the next 1-2 quarters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2026-08-23T07:04:30.578Z</dcterms:created>
  <dcterms:modified xsi:type="dcterms:W3CDTF">2026-08-23T07:04:30.578Z</dcterms:modified>
</cp:coreProperties>
</file>

<file path=docProps/custom.xml><?xml version="1.0" encoding="utf-8"?>
<Properties xmlns="http://schemas.openxmlformats.org/officeDocument/2006/custom-properties" xmlns:vt="http://schemas.openxmlformats.org/officeDocument/2006/docPropsVTypes"/>
</file>